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BDF97C" w14:textId="7E8CC68D" w:rsidR="00687377" w:rsidRDefault="00687377" w:rsidP="00687377">
      <w:pPr>
        <w:pStyle w:val="Title"/>
        <w:rPr>
          <w:i/>
        </w:rPr>
      </w:pPr>
      <w:bookmarkStart w:id="0" w:name="_Hlk184798399"/>
      <w:r>
        <w:t xml:space="preserve">The Title is Written in Times New Roman (16 pt) and </w:t>
      </w:r>
      <w:proofErr w:type="gramStart"/>
      <w:r>
        <w:t>Preferably</w:t>
      </w:r>
      <w:proofErr w:type="gramEnd"/>
      <w:r>
        <w:t xml:space="preserve"> not more than 16 Words</w:t>
      </w:r>
    </w:p>
    <w:p w14:paraId="5818C337" w14:textId="77777777" w:rsidR="00687377" w:rsidRDefault="00687377" w:rsidP="00687377">
      <w:pPr>
        <w:pBdr>
          <w:top w:val="nil"/>
          <w:left w:val="nil"/>
          <w:bottom w:val="nil"/>
          <w:right w:val="nil"/>
          <w:between w:val="nil"/>
        </w:pBdr>
        <w:spacing w:before="120" w:after="120"/>
        <w:rPr>
          <w:i/>
          <w:color w:val="000000"/>
          <w:sz w:val="24"/>
        </w:rPr>
      </w:pPr>
      <w:bookmarkStart w:id="1" w:name="_Hlk184800387"/>
      <w:bookmarkEnd w:id="0"/>
      <w:r>
        <w:rPr>
          <w:rFonts w:eastAsia="Times New Roman" w:cs="Times New Roman"/>
          <w:i/>
          <w:color w:val="000000"/>
          <w:sz w:val="24"/>
        </w:rPr>
        <w:t>S Vongtanaboon</w:t>
      </w:r>
      <w:r>
        <w:rPr>
          <w:rFonts w:eastAsia="Times New Roman" w:cs="Times New Roman"/>
          <w:i/>
          <w:color w:val="000000"/>
          <w:sz w:val="24"/>
          <w:vertAlign w:val="superscript"/>
        </w:rPr>
        <w:t>1</w:t>
      </w:r>
      <w:bookmarkEnd w:id="1"/>
      <w:r>
        <w:rPr>
          <w:rFonts w:eastAsia="Times New Roman" w:cs="Times New Roman"/>
          <w:i/>
          <w:color w:val="000000"/>
          <w:sz w:val="24"/>
        </w:rPr>
        <w:t>, W Hancharoen</w:t>
      </w:r>
      <w:r>
        <w:rPr>
          <w:rFonts w:eastAsia="Times New Roman" w:cs="Times New Roman"/>
          <w:i/>
          <w:color w:val="000000"/>
          <w:sz w:val="24"/>
          <w:vertAlign w:val="superscript"/>
        </w:rPr>
        <w:t>2</w:t>
      </w:r>
      <w:r>
        <w:rPr>
          <w:rFonts w:eastAsia="Times New Roman" w:cs="Times New Roman"/>
          <w:i/>
          <w:color w:val="000000"/>
          <w:sz w:val="24"/>
        </w:rPr>
        <w:t xml:space="preserve"> and S Homya</w:t>
      </w:r>
      <w:r>
        <w:rPr>
          <w:rFonts w:eastAsia="Times New Roman" w:cs="Times New Roman"/>
          <w:i/>
          <w:color w:val="000000"/>
          <w:sz w:val="24"/>
          <w:vertAlign w:val="superscript"/>
        </w:rPr>
        <w:t>1.</w:t>
      </w:r>
    </w:p>
    <w:p w14:paraId="49060586" w14:textId="77777777" w:rsidR="00687377" w:rsidRDefault="00687377" w:rsidP="00687377">
      <w:pPr>
        <w:pBdr>
          <w:top w:val="nil"/>
          <w:left w:val="nil"/>
          <w:bottom w:val="nil"/>
          <w:right w:val="nil"/>
          <w:between w:val="nil"/>
        </w:pBdr>
        <w:rPr>
          <w:i/>
          <w:color w:val="000000"/>
          <w:sz w:val="16"/>
          <w:szCs w:val="16"/>
        </w:rPr>
      </w:pPr>
      <w:r>
        <w:rPr>
          <w:rFonts w:eastAsia="Times New Roman" w:cs="Times New Roman"/>
          <w:i/>
          <w:color w:val="000000"/>
          <w:sz w:val="16"/>
          <w:szCs w:val="16"/>
          <w:vertAlign w:val="superscript"/>
        </w:rPr>
        <w:t xml:space="preserve">1 </w:t>
      </w:r>
      <w:r>
        <w:rPr>
          <w:rFonts w:eastAsia="Times New Roman" w:cs="Times New Roman"/>
          <w:i/>
          <w:color w:val="000000"/>
          <w:sz w:val="16"/>
          <w:szCs w:val="16"/>
        </w:rPr>
        <w:t>Environmental Science Department, Faculty of Science and Technology, Phuket Rajabhat University, Phuket., Thailand,</w:t>
      </w:r>
    </w:p>
    <w:p w14:paraId="385CF853" w14:textId="7B6C4106" w:rsidR="00E41749" w:rsidRPr="00687377" w:rsidRDefault="00687377" w:rsidP="00687377">
      <w:pPr>
        <w:jc w:val="left"/>
        <w:rPr>
          <w:i/>
          <w:sz w:val="16"/>
          <w:szCs w:val="16"/>
        </w:rPr>
      </w:pPr>
      <w:r>
        <w:rPr>
          <w:i/>
          <w:sz w:val="16"/>
          <w:szCs w:val="16"/>
          <w:vertAlign w:val="superscript"/>
        </w:rPr>
        <w:t xml:space="preserve">2 </w:t>
      </w:r>
      <w:r>
        <w:rPr>
          <w:i/>
          <w:sz w:val="16"/>
          <w:szCs w:val="16"/>
        </w:rPr>
        <w:t>Entrepreneur Department, Faculty of Social Science, Phuket Rajabhat University, Phuket, Thailand</w:t>
      </w:r>
      <w:r>
        <w:rPr>
          <w:i/>
          <w:sz w:val="16"/>
          <w:szCs w:val="16"/>
        </w:rPr>
        <w:br/>
      </w:r>
    </w:p>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3262DB" w:rsidRPr="003262DB" w14:paraId="6AF9F819" w14:textId="77777777" w:rsidTr="00687377">
        <w:trPr>
          <w:trHeight w:val="348"/>
        </w:trPr>
        <w:tc>
          <w:tcPr>
            <w:tcW w:w="3675" w:type="dxa"/>
            <w:tcBorders>
              <w:bottom w:val="single" w:sz="8" w:space="0" w:color="auto"/>
            </w:tcBorders>
            <w:shd w:val="clear" w:color="auto" w:fill="D9D9D9" w:themeFill="background1" w:themeFillShade="D9"/>
          </w:tcPr>
          <w:p w14:paraId="739E43B7" w14:textId="1E30F098" w:rsidR="000068BB" w:rsidRPr="00687377" w:rsidRDefault="00565AC2" w:rsidP="00C86276">
            <w:pPr>
              <w:spacing w:before="60" w:after="60"/>
              <w:jc w:val="left"/>
              <w:rPr>
                <w:b/>
                <w:bCs/>
                <w:smallCaps/>
                <w:sz w:val="20"/>
                <w:szCs w:val="20"/>
              </w:rPr>
            </w:pPr>
            <w:r w:rsidRPr="00687377">
              <w:rPr>
                <w:b/>
                <w:bCs/>
                <w:smallCaps/>
                <w:sz w:val="20"/>
                <w:szCs w:val="20"/>
              </w:rPr>
              <w:t>ARTICLE INFO</w:t>
            </w:r>
          </w:p>
        </w:tc>
        <w:tc>
          <w:tcPr>
            <w:tcW w:w="361" w:type="dxa"/>
            <w:vMerge w:val="restart"/>
          </w:tcPr>
          <w:p w14:paraId="1998B779" w14:textId="77777777" w:rsidR="000068BB" w:rsidRPr="003262DB" w:rsidRDefault="000068BB" w:rsidP="000B74FA">
            <w:pPr>
              <w:spacing w:after="120"/>
              <w:jc w:val="left"/>
              <w:rPr>
                <w:sz w:val="20"/>
              </w:rPr>
            </w:pPr>
          </w:p>
        </w:tc>
        <w:tc>
          <w:tcPr>
            <w:tcW w:w="5898" w:type="dxa"/>
            <w:tcBorders>
              <w:bottom w:val="single" w:sz="8" w:space="0" w:color="auto"/>
            </w:tcBorders>
            <w:shd w:val="clear" w:color="auto" w:fill="D9D9D9" w:themeFill="background1" w:themeFillShade="D9"/>
          </w:tcPr>
          <w:p w14:paraId="12C35754" w14:textId="51F338CB" w:rsidR="000068BB" w:rsidRPr="003262DB" w:rsidRDefault="00887C21" w:rsidP="000B74FA">
            <w:pPr>
              <w:spacing w:after="120"/>
              <w:jc w:val="left"/>
              <w:rPr>
                <w:b/>
                <w:bCs/>
                <w:spacing w:val="100"/>
                <w:sz w:val="20"/>
                <w:szCs w:val="20"/>
              </w:rPr>
            </w:pPr>
            <w:r w:rsidRPr="003262DB">
              <w:rPr>
                <w:b/>
                <w:bCs/>
                <w:spacing w:val="100"/>
                <w:sz w:val="20"/>
                <w:szCs w:val="20"/>
              </w:rPr>
              <w:t>ABSTRAC</w:t>
            </w:r>
            <w:r w:rsidR="000068BB" w:rsidRPr="003262DB">
              <w:rPr>
                <w:b/>
                <w:bCs/>
                <w:spacing w:val="100"/>
                <w:sz w:val="20"/>
                <w:szCs w:val="20"/>
              </w:rPr>
              <w:t>T</w:t>
            </w:r>
          </w:p>
        </w:tc>
      </w:tr>
      <w:tr w:rsidR="003262DB" w:rsidRPr="003262DB" w14:paraId="78B7650C" w14:textId="77777777" w:rsidTr="00687377">
        <w:trPr>
          <w:trHeight w:val="940"/>
        </w:trPr>
        <w:tc>
          <w:tcPr>
            <w:tcW w:w="3675" w:type="dxa"/>
            <w:tcBorders>
              <w:top w:val="single" w:sz="8" w:space="0" w:color="auto"/>
            </w:tcBorders>
          </w:tcPr>
          <w:p w14:paraId="0D88DE98" w14:textId="77777777" w:rsidR="003E5B73" w:rsidRPr="003262DB" w:rsidRDefault="003E5B73" w:rsidP="003E5B73">
            <w:pPr>
              <w:spacing w:before="120"/>
              <w:rPr>
                <w:i/>
                <w:sz w:val="16"/>
              </w:rPr>
            </w:pPr>
            <w:r w:rsidRPr="003262DB">
              <w:rPr>
                <w:i/>
                <w:sz w:val="16"/>
              </w:rPr>
              <w:t>Article History</w:t>
            </w:r>
            <w:r>
              <w:rPr>
                <w:i/>
                <w:sz w:val="16"/>
              </w:rPr>
              <w:t>:</w:t>
            </w:r>
          </w:p>
          <w:p w14:paraId="56D03693" w14:textId="00BF3AA4" w:rsidR="003E5B73" w:rsidRPr="003262DB" w:rsidRDefault="003E5B73" w:rsidP="003E5B73">
            <w:pPr>
              <w:rPr>
                <w:sz w:val="16"/>
              </w:rPr>
            </w:pPr>
            <w:r w:rsidRPr="003262DB">
              <w:rPr>
                <w:sz w:val="16"/>
              </w:rPr>
              <w:t>Received</w:t>
            </w:r>
            <w:r>
              <w:rPr>
                <w:sz w:val="16"/>
              </w:rPr>
              <w:t xml:space="preserve">: </w:t>
            </w:r>
            <w:r w:rsidR="003E2789">
              <w:rPr>
                <w:sz w:val="16"/>
              </w:rPr>
              <w:t>30</w:t>
            </w:r>
            <w:r>
              <w:rPr>
                <w:sz w:val="16"/>
              </w:rPr>
              <w:t xml:space="preserve"> May 2024</w:t>
            </w:r>
          </w:p>
          <w:p w14:paraId="0CCA7894" w14:textId="099045F8" w:rsidR="003E5B73" w:rsidRPr="003262DB" w:rsidRDefault="003E5B73" w:rsidP="003E5B73">
            <w:pPr>
              <w:jc w:val="left"/>
              <w:rPr>
                <w:sz w:val="16"/>
              </w:rPr>
            </w:pPr>
            <w:r w:rsidRPr="003262DB">
              <w:rPr>
                <w:sz w:val="16"/>
              </w:rPr>
              <w:t>Final Revision</w:t>
            </w:r>
            <w:r>
              <w:rPr>
                <w:sz w:val="16"/>
              </w:rPr>
              <w:t xml:space="preserve">: </w:t>
            </w:r>
            <w:r w:rsidRPr="003262DB">
              <w:rPr>
                <w:sz w:val="16"/>
              </w:rPr>
              <w:t>0</w:t>
            </w:r>
            <w:r>
              <w:rPr>
                <w:sz w:val="16"/>
              </w:rPr>
              <w:t>7 June 2024</w:t>
            </w:r>
            <w:r>
              <w:rPr>
                <w:sz w:val="16"/>
              </w:rPr>
              <w:br/>
              <w:t xml:space="preserve">Accepted: </w:t>
            </w:r>
            <w:r w:rsidRPr="003262DB">
              <w:rPr>
                <w:sz w:val="16"/>
              </w:rPr>
              <w:t>0</w:t>
            </w:r>
            <w:r w:rsidR="003E2789">
              <w:rPr>
                <w:sz w:val="16"/>
              </w:rPr>
              <w:t>9</w:t>
            </w:r>
            <w:r>
              <w:rPr>
                <w:sz w:val="16"/>
              </w:rPr>
              <w:t xml:space="preserve"> June 2024</w:t>
            </w:r>
          </w:p>
          <w:p w14:paraId="4E806AB4" w14:textId="0DB37C2A" w:rsidR="003E5B73" w:rsidRPr="003262DB" w:rsidRDefault="003E5B73" w:rsidP="003E5B73">
            <w:pPr>
              <w:rPr>
                <w:sz w:val="16"/>
              </w:rPr>
            </w:pPr>
            <w:r w:rsidRPr="003262DB">
              <w:rPr>
                <w:sz w:val="16"/>
              </w:rPr>
              <w:t xml:space="preserve">Online Publication:  </w:t>
            </w:r>
            <w:r w:rsidR="003E2789">
              <w:rPr>
                <w:sz w:val="16"/>
              </w:rPr>
              <w:t>11</w:t>
            </w:r>
            <w:r>
              <w:rPr>
                <w:sz w:val="16"/>
              </w:rPr>
              <w:t xml:space="preserve"> June 2024</w:t>
            </w:r>
          </w:p>
          <w:p w14:paraId="12AFB4F8" w14:textId="0435968D" w:rsidR="000068BB" w:rsidRPr="003262DB" w:rsidRDefault="000068BB" w:rsidP="00C35F46"/>
        </w:tc>
        <w:tc>
          <w:tcPr>
            <w:tcW w:w="361" w:type="dxa"/>
            <w:vMerge/>
          </w:tcPr>
          <w:p w14:paraId="79BE587F" w14:textId="77777777" w:rsidR="000068BB" w:rsidRPr="003262DB" w:rsidRDefault="000068BB" w:rsidP="00C35F46"/>
        </w:tc>
        <w:tc>
          <w:tcPr>
            <w:tcW w:w="5898" w:type="dxa"/>
            <w:vMerge w:val="restart"/>
            <w:tcBorders>
              <w:top w:val="single" w:sz="8" w:space="0" w:color="auto"/>
              <w:bottom w:val="single" w:sz="4" w:space="0" w:color="auto"/>
            </w:tcBorders>
            <w:shd w:val="clear" w:color="auto" w:fill="FFFFFF" w:themeFill="background1"/>
          </w:tcPr>
          <w:p w14:paraId="1655E824" w14:textId="04D4AACA" w:rsidR="000068BB" w:rsidRPr="00445CF9" w:rsidRDefault="00687377" w:rsidP="00687377">
            <w:pPr>
              <w:pStyle w:val="AJARCDE-Abstract"/>
            </w:pPr>
            <w:r w:rsidRPr="00687377">
              <w:rPr>
                <w:rStyle w:val="y2iqfc"/>
              </w:rPr>
              <w:t xml:space="preserve">This research aimed to evaluate risk factors and assess flood risk </w:t>
            </w:r>
            <w:r>
              <w:rPr>
                <w:rStyle w:val="y2iqfc"/>
              </w:rPr>
              <w:t>areas</w:t>
            </w:r>
            <w:r w:rsidRPr="00687377">
              <w:rPr>
                <w:rStyle w:val="y2iqfc"/>
              </w:rPr>
              <w:t xml:space="preserve">, including analysis guidelines for flood risk area management in Patong Municipality, Kathu District, Phuket Province. Factors affecting flood were rainfall, slope gradient, soil permeability, land use and water barrier. Weighting and rating factors were indicated, and a geographic information system for potential surface and overlay analyses </w:t>
            </w:r>
            <w:r>
              <w:rPr>
                <w:rStyle w:val="y2iqfc"/>
              </w:rPr>
              <w:t>was</w:t>
            </w:r>
            <w:r w:rsidRPr="00687377">
              <w:rPr>
                <w:rStyle w:val="y2iqfc"/>
              </w:rPr>
              <w:t xml:space="preserve"> applied. The results revealed that Patong Municipality had </w:t>
            </w:r>
            <w:r>
              <w:rPr>
                <w:rStyle w:val="y2iqfc"/>
              </w:rPr>
              <w:t>a high-risk</w:t>
            </w:r>
            <w:r w:rsidRPr="00687377">
              <w:rPr>
                <w:rStyle w:val="y2iqfc"/>
              </w:rPr>
              <w:t xml:space="preserve"> area </w:t>
            </w:r>
            <w:r>
              <w:rPr>
                <w:rStyle w:val="y2iqfc"/>
              </w:rPr>
              <w:t>of</w:t>
            </w:r>
            <w:r w:rsidRPr="00687377">
              <w:rPr>
                <w:rStyle w:val="y2iqfc"/>
              </w:rPr>
              <w:t xml:space="preserve"> 2.17 km</w:t>
            </w:r>
            <w:r w:rsidRPr="00B459BC">
              <w:rPr>
                <w:rStyle w:val="y2iqfc"/>
                <w:vertAlign w:val="superscript"/>
              </w:rPr>
              <w:t>2</w:t>
            </w:r>
            <w:r w:rsidRPr="00687377">
              <w:rPr>
                <w:rStyle w:val="y2iqfc"/>
              </w:rPr>
              <w:t xml:space="preserve"> (11.39%). The flood risk area for moderate level accounted for 4.00 km2 (20.99%) and the low flood risk area for 12.89 km2 (67.62%). Guidelines for flood risk area management in Patong Municipality should focus on the principles of soil and water conservation, forest restoration and preservation in </w:t>
            </w:r>
            <w:r>
              <w:rPr>
                <w:rStyle w:val="y2iqfc"/>
              </w:rPr>
              <w:t xml:space="preserve">the </w:t>
            </w:r>
            <w:r w:rsidRPr="00687377">
              <w:rPr>
                <w:rStyle w:val="y2iqfc"/>
              </w:rPr>
              <w:t xml:space="preserve">upstream area, flow path and </w:t>
            </w:r>
            <w:r>
              <w:rPr>
                <w:rStyle w:val="y2iqfc"/>
              </w:rPr>
              <w:t>stream</w:t>
            </w:r>
            <w:r w:rsidRPr="00687377">
              <w:rPr>
                <w:rStyle w:val="y2iqfc"/>
              </w:rPr>
              <w:t xml:space="preserve"> management, land use management, </w:t>
            </w:r>
            <w:r>
              <w:rPr>
                <w:rStyle w:val="y2iqfc"/>
              </w:rPr>
              <w:t xml:space="preserve">and </w:t>
            </w:r>
            <w:r w:rsidRPr="00687377">
              <w:rPr>
                <w:rStyle w:val="y2iqfc"/>
              </w:rPr>
              <w:t>ground cover planting to prevent soil erosion and maintain soil moisture.</w:t>
            </w:r>
          </w:p>
        </w:tc>
      </w:tr>
      <w:tr w:rsidR="003262DB" w:rsidRPr="003262DB" w14:paraId="08E2928D" w14:textId="77777777" w:rsidTr="00687377">
        <w:trPr>
          <w:trHeight w:val="348"/>
        </w:trPr>
        <w:tc>
          <w:tcPr>
            <w:tcW w:w="3675" w:type="dxa"/>
            <w:tcBorders>
              <w:bottom w:val="single" w:sz="8" w:space="0" w:color="auto"/>
            </w:tcBorders>
            <w:shd w:val="clear" w:color="auto" w:fill="D9D9D9" w:themeFill="background1" w:themeFillShade="D9"/>
          </w:tcPr>
          <w:p w14:paraId="2EAC7180" w14:textId="62E5102E" w:rsidR="000068BB" w:rsidRPr="00687377" w:rsidRDefault="00565AC2" w:rsidP="00C86276">
            <w:pPr>
              <w:spacing w:before="60" w:after="60"/>
              <w:rPr>
                <w:b/>
                <w:bCs/>
                <w:smallCaps/>
                <w:sz w:val="20"/>
                <w:szCs w:val="20"/>
              </w:rPr>
            </w:pPr>
            <w:r w:rsidRPr="00687377">
              <w:rPr>
                <w:b/>
                <w:bCs/>
                <w:smallCaps/>
                <w:sz w:val="20"/>
                <w:szCs w:val="20"/>
              </w:rPr>
              <w:t>KEYWORDS</w:t>
            </w:r>
          </w:p>
        </w:tc>
        <w:tc>
          <w:tcPr>
            <w:tcW w:w="361" w:type="dxa"/>
            <w:vMerge/>
          </w:tcPr>
          <w:p w14:paraId="288B03F5" w14:textId="77777777" w:rsidR="000068BB" w:rsidRPr="003262DB" w:rsidRDefault="000068BB" w:rsidP="000B74FA">
            <w:pPr>
              <w:spacing w:after="120"/>
              <w:rPr>
                <w:sz w:val="20"/>
              </w:rPr>
            </w:pPr>
          </w:p>
        </w:tc>
        <w:tc>
          <w:tcPr>
            <w:tcW w:w="5898" w:type="dxa"/>
            <w:vMerge/>
            <w:tcBorders>
              <w:bottom w:val="single" w:sz="4" w:space="0" w:color="auto"/>
            </w:tcBorders>
            <w:shd w:val="clear" w:color="auto" w:fill="FFFFFF" w:themeFill="background1"/>
          </w:tcPr>
          <w:p w14:paraId="78239A47" w14:textId="7614CEA8" w:rsidR="000068BB" w:rsidRPr="003262DB" w:rsidRDefault="000068BB" w:rsidP="000B74FA">
            <w:pPr>
              <w:spacing w:after="120"/>
              <w:rPr>
                <w:sz w:val="20"/>
              </w:rPr>
            </w:pPr>
          </w:p>
        </w:tc>
      </w:tr>
      <w:tr w:rsidR="003262DB" w:rsidRPr="003262DB" w14:paraId="030D215F" w14:textId="77777777" w:rsidTr="00687377">
        <w:trPr>
          <w:trHeight w:val="278"/>
        </w:trPr>
        <w:tc>
          <w:tcPr>
            <w:tcW w:w="3675" w:type="dxa"/>
            <w:tcBorders>
              <w:top w:val="single" w:sz="8" w:space="0" w:color="auto"/>
            </w:tcBorders>
          </w:tcPr>
          <w:p w14:paraId="61CF095E" w14:textId="6BEDEC42" w:rsidR="000068BB" w:rsidRPr="00687377" w:rsidRDefault="007045D3" w:rsidP="00687377">
            <w:pPr>
              <w:spacing w:line="240" w:lineRule="auto"/>
              <w:jc w:val="left"/>
              <w:rPr>
                <w:rFonts w:cs="Times New Roman"/>
                <w:i/>
                <w:iCs/>
                <w:sz w:val="16"/>
                <w:szCs w:val="16"/>
                <w:lang w:eastAsia="id-ID"/>
              </w:rPr>
            </w:pPr>
            <w:r w:rsidRPr="007045D3">
              <w:rPr>
                <w:rFonts w:cs="Times New Roman"/>
                <w:i/>
                <w:iCs/>
                <w:sz w:val="16"/>
                <w:szCs w:val="16"/>
                <w:lang w:val="en" w:eastAsia="id-ID"/>
              </w:rPr>
              <w:t>contribution, subsidized fertilizer, rice production</w:t>
            </w:r>
            <w:r w:rsidR="003101AC">
              <w:rPr>
                <w:rFonts w:cs="Times New Roman"/>
                <w:i/>
                <w:iCs/>
                <w:sz w:val="16"/>
                <w:szCs w:val="16"/>
                <w:lang w:val="en" w:eastAsia="id-ID"/>
              </w:rPr>
              <w:t>,</w:t>
            </w:r>
            <w:r w:rsidR="003101AC">
              <w:rPr>
                <w:i/>
                <w:iCs/>
                <w:sz w:val="16"/>
                <w:szCs w:val="16"/>
                <w:lang w:eastAsia="id-ID"/>
              </w:rPr>
              <w:t xml:space="preserve"> agricultural policies</w:t>
            </w:r>
            <w:r w:rsidR="00687377">
              <w:rPr>
                <w:i/>
                <w:iCs/>
                <w:sz w:val="16"/>
                <w:szCs w:val="16"/>
                <w:lang w:eastAsia="id-ID"/>
              </w:rPr>
              <w:br/>
            </w:r>
          </w:p>
        </w:tc>
        <w:tc>
          <w:tcPr>
            <w:tcW w:w="361" w:type="dxa"/>
            <w:vMerge/>
          </w:tcPr>
          <w:p w14:paraId="5EA73CA1" w14:textId="77777777" w:rsidR="000068BB" w:rsidRPr="003262DB" w:rsidRDefault="000068BB" w:rsidP="00C35F46"/>
        </w:tc>
        <w:tc>
          <w:tcPr>
            <w:tcW w:w="5898" w:type="dxa"/>
            <w:vMerge/>
            <w:tcBorders>
              <w:bottom w:val="single" w:sz="4" w:space="0" w:color="auto"/>
            </w:tcBorders>
            <w:shd w:val="clear" w:color="auto" w:fill="FFFFFF" w:themeFill="background1"/>
          </w:tcPr>
          <w:p w14:paraId="50CDD264" w14:textId="77777777" w:rsidR="000068BB" w:rsidRPr="003262DB" w:rsidRDefault="000068BB" w:rsidP="00C35F46"/>
        </w:tc>
      </w:tr>
      <w:tr w:rsidR="003262DB" w:rsidRPr="003262DB" w14:paraId="3B1F2D3F" w14:textId="77777777" w:rsidTr="00687377">
        <w:trPr>
          <w:trHeight w:val="278"/>
        </w:trPr>
        <w:tc>
          <w:tcPr>
            <w:tcW w:w="3675" w:type="dxa"/>
            <w:tcBorders>
              <w:bottom w:val="single" w:sz="8" w:space="0" w:color="auto"/>
            </w:tcBorders>
            <w:shd w:val="clear" w:color="auto" w:fill="D9D9D9" w:themeFill="background1" w:themeFillShade="D9"/>
          </w:tcPr>
          <w:p w14:paraId="19499DB9" w14:textId="0096004A" w:rsidR="000068BB" w:rsidRPr="00687377" w:rsidRDefault="00565AC2" w:rsidP="00C86276">
            <w:pPr>
              <w:spacing w:before="60" w:after="60"/>
              <w:rPr>
                <w:b/>
                <w:bCs/>
                <w:smallCaps/>
                <w:szCs w:val="20"/>
              </w:rPr>
            </w:pPr>
            <w:r w:rsidRPr="00687377">
              <w:rPr>
                <w:b/>
                <w:bCs/>
                <w:smallCaps/>
                <w:sz w:val="20"/>
                <w:szCs w:val="20"/>
              </w:rPr>
              <w:t>CORRESPONDING AUTHOR</w:t>
            </w:r>
          </w:p>
        </w:tc>
        <w:tc>
          <w:tcPr>
            <w:tcW w:w="361" w:type="dxa"/>
            <w:vMerge/>
          </w:tcPr>
          <w:p w14:paraId="38347921" w14:textId="77777777" w:rsidR="000068BB" w:rsidRPr="003262DB" w:rsidRDefault="000068BB" w:rsidP="00C35F46"/>
        </w:tc>
        <w:tc>
          <w:tcPr>
            <w:tcW w:w="5898" w:type="dxa"/>
            <w:vMerge/>
            <w:tcBorders>
              <w:bottom w:val="single" w:sz="4" w:space="0" w:color="auto"/>
            </w:tcBorders>
            <w:shd w:val="clear" w:color="auto" w:fill="FFFFFF" w:themeFill="background1"/>
          </w:tcPr>
          <w:p w14:paraId="5017C64C" w14:textId="77777777" w:rsidR="000068BB" w:rsidRPr="003262DB" w:rsidRDefault="000068BB" w:rsidP="00C35F46"/>
        </w:tc>
      </w:tr>
      <w:tr w:rsidR="003262DB" w:rsidRPr="003262DB" w14:paraId="4D2A938D" w14:textId="77777777" w:rsidTr="00687377">
        <w:trPr>
          <w:trHeight w:val="278"/>
        </w:trPr>
        <w:tc>
          <w:tcPr>
            <w:tcW w:w="3675" w:type="dxa"/>
            <w:tcBorders>
              <w:top w:val="single" w:sz="8" w:space="0" w:color="auto"/>
              <w:bottom w:val="single" w:sz="8" w:space="0" w:color="auto"/>
            </w:tcBorders>
          </w:tcPr>
          <w:p w14:paraId="149D8489" w14:textId="5D9B5BC9" w:rsidR="000068BB" w:rsidRPr="009F55C2" w:rsidRDefault="00565AC2" w:rsidP="00716A71">
            <w:pPr>
              <w:spacing w:line="360" w:lineRule="auto"/>
              <w:jc w:val="left"/>
            </w:pPr>
            <w:r w:rsidRPr="009F55C2">
              <w:rPr>
                <w:sz w:val="16"/>
              </w:rPr>
              <w:t xml:space="preserve">*E-mail:  </w:t>
            </w:r>
            <w:r w:rsidR="004E7B7A" w:rsidRPr="002C3463">
              <w:rPr>
                <w:sz w:val="16"/>
                <w:u w:val="single"/>
              </w:rPr>
              <w:t>fifianpermatasari@gmail.com</w:t>
            </w:r>
          </w:p>
        </w:tc>
        <w:tc>
          <w:tcPr>
            <w:tcW w:w="361" w:type="dxa"/>
            <w:vMerge/>
          </w:tcPr>
          <w:p w14:paraId="79F22D25" w14:textId="77777777" w:rsidR="000068BB" w:rsidRPr="003262DB" w:rsidRDefault="000068BB" w:rsidP="00C35F46"/>
        </w:tc>
        <w:tc>
          <w:tcPr>
            <w:tcW w:w="5898" w:type="dxa"/>
            <w:vMerge/>
            <w:tcBorders>
              <w:bottom w:val="single" w:sz="4" w:space="0" w:color="auto"/>
            </w:tcBorders>
            <w:shd w:val="clear" w:color="auto" w:fill="FFFFFF" w:themeFill="background1"/>
          </w:tcPr>
          <w:p w14:paraId="5ABAD92E" w14:textId="77777777" w:rsidR="000068BB" w:rsidRPr="003262DB" w:rsidRDefault="000068BB" w:rsidP="00C35F46"/>
        </w:tc>
      </w:tr>
      <w:tr w:rsidR="00687377" w:rsidRPr="003262DB" w14:paraId="36A88F42" w14:textId="77777777" w:rsidTr="00687377">
        <w:trPr>
          <w:trHeight w:val="278"/>
        </w:trPr>
        <w:tc>
          <w:tcPr>
            <w:tcW w:w="3675" w:type="dxa"/>
            <w:tcBorders>
              <w:top w:val="single" w:sz="8" w:space="0" w:color="auto"/>
              <w:bottom w:val="single" w:sz="8" w:space="0" w:color="auto"/>
            </w:tcBorders>
          </w:tcPr>
          <w:p w14:paraId="0F068A67" w14:textId="77777777" w:rsidR="00687377" w:rsidRPr="003262DB" w:rsidRDefault="00687377" w:rsidP="00716A71">
            <w:pPr>
              <w:spacing w:line="360" w:lineRule="auto"/>
              <w:jc w:val="left"/>
              <w:rPr>
                <w:sz w:val="16"/>
              </w:rPr>
            </w:pPr>
          </w:p>
        </w:tc>
        <w:tc>
          <w:tcPr>
            <w:tcW w:w="361" w:type="dxa"/>
          </w:tcPr>
          <w:p w14:paraId="08F84AAB" w14:textId="77777777" w:rsidR="00687377" w:rsidRPr="003262DB" w:rsidRDefault="00687377" w:rsidP="00C35F46"/>
        </w:tc>
        <w:tc>
          <w:tcPr>
            <w:tcW w:w="5898" w:type="dxa"/>
            <w:tcBorders>
              <w:top w:val="single" w:sz="4" w:space="0" w:color="auto"/>
              <w:bottom w:val="single" w:sz="4" w:space="0" w:color="auto"/>
            </w:tcBorders>
          </w:tcPr>
          <w:p w14:paraId="38552CE8" w14:textId="570EF7E9" w:rsidR="00687377" w:rsidRPr="003262DB" w:rsidRDefault="00687377" w:rsidP="00687377">
            <w:pPr>
              <w:jc w:val="left"/>
            </w:pPr>
            <w:r w:rsidRPr="00DC3830">
              <w:rPr>
                <w:b/>
                <w:bCs/>
                <w:sz w:val="20"/>
                <w:szCs w:val="20"/>
              </w:rPr>
              <w:t>Contribution to Sustainable Development Goals (SDGs):</w:t>
            </w:r>
            <w:r>
              <w:rPr>
                <w:sz w:val="16"/>
                <w:szCs w:val="16"/>
              </w:rPr>
              <w:br/>
            </w:r>
            <w:r w:rsidRPr="00DC3830">
              <w:rPr>
                <w:b/>
                <w:bCs/>
              </w:rPr>
              <w:t>SDG 6:</w:t>
            </w:r>
            <w:r>
              <w:t xml:space="preserve"> Clean Water and Sanitation</w:t>
            </w:r>
            <w:r>
              <w:br/>
            </w:r>
            <w:r w:rsidRPr="00DC3830">
              <w:rPr>
                <w:b/>
                <w:bCs/>
              </w:rPr>
              <w:t>SDG 11</w:t>
            </w:r>
            <w:r>
              <w:t>: Sustainable Cities and Communities</w:t>
            </w:r>
            <w:r>
              <w:br/>
            </w:r>
            <w:r w:rsidRPr="00DC3830">
              <w:rPr>
                <w:b/>
                <w:bCs/>
                <w:sz w:val="16"/>
                <w:szCs w:val="16"/>
              </w:rPr>
              <w:t xml:space="preserve">SDG 13: </w:t>
            </w:r>
            <w:r w:rsidRPr="00DC3830">
              <w:rPr>
                <w:sz w:val="16"/>
                <w:szCs w:val="16"/>
              </w:rPr>
              <w:t>Climate Action</w:t>
            </w:r>
            <w:r>
              <w:rPr>
                <w:sz w:val="16"/>
                <w:szCs w:val="16"/>
              </w:rPr>
              <w:br/>
            </w:r>
            <w:r w:rsidRPr="00DC3830">
              <w:rPr>
                <w:b/>
                <w:bCs/>
                <w:sz w:val="16"/>
                <w:szCs w:val="16"/>
              </w:rPr>
              <w:t>SDG 15:</w:t>
            </w:r>
            <w:r w:rsidRPr="00DC3830">
              <w:rPr>
                <w:sz w:val="16"/>
                <w:szCs w:val="16"/>
              </w:rPr>
              <w:t xml:space="preserve"> Life on Land</w:t>
            </w:r>
          </w:p>
        </w:tc>
      </w:tr>
    </w:tbl>
    <w:p w14:paraId="75860CC8" w14:textId="77777777" w:rsidR="00755940" w:rsidRPr="003262DB" w:rsidRDefault="00755940" w:rsidP="00C35F46"/>
    <w:p w14:paraId="31E2ABC7" w14:textId="77777777" w:rsidR="00415A10" w:rsidRPr="003262DB" w:rsidRDefault="00415A10" w:rsidP="00C35F46">
      <w:pPr>
        <w:sectPr w:rsidR="00415A10" w:rsidRPr="003262DB" w:rsidSect="00214D89">
          <w:headerReference w:type="even" r:id="rId8"/>
          <w:headerReference w:type="default" r:id="rId9"/>
          <w:footerReference w:type="even" r:id="rId10"/>
          <w:footerReference w:type="default" r:id="rId11"/>
          <w:headerReference w:type="first" r:id="rId12"/>
          <w:footerReference w:type="first" r:id="rId13"/>
          <w:type w:val="continuous"/>
          <w:pgSz w:w="11900" w:h="16840"/>
          <w:pgMar w:top="2637" w:right="851" w:bottom="1134" w:left="1134" w:header="851" w:footer="851" w:gutter="0"/>
          <w:pgNumType w:start="187"/>
          <w:cols w:space="708"/>
          <w:titlePg/>
          <w:docGrid w:linePitch="360"/>
        </w:sectPr>
      </w:pPr>
    </w:p>
    <w:p w14:paraId="5B60F895" w14:textId="3362D580" w:rsidR="00282CB7" w:rsidRPr="003262DB" w:rsidRDefault="000207F4" w:rsidP="004527D9">
      <w:pPr>
        <w:pStyle w:val="Heading1"/>
      </w:pPr>
      <w:r w:rsidRPr="003262DB">
        <w:rPr>
          <w:lang w:val="en-US"/>
        </w:rPr>
        <w:t>INTRODUCTION</w:t>
      </w:r>
    </w:p>
    <w:p w14:paraId="094B9B74" w14:textId="47B9058F" w:rsidR="00477282" w:rsidRPr="003262DB" w:rsidRDefault="00477282" w:rsidP="00C83AB0">
      <w:pPr>
        <w:pStyle w:val="Heading2"/>
      </w:pPr>
      <w:r w:rsidRPr="003262DB">
        <w:t>Research Background</w:t>
      </w:r>
      <w:r w:rsidR="00712086">
        <w:rPr>
          <w:lang w:val="en-US"/>
        </w:rPr>
        <w:t xml:space="preserve"> </w:t>
      </w:r>
    </w:p>
    <w:p w14:paraId="02CEB113" w14:textId="79075718" w:rsidR="00DB0033" w:rsidRPr="00DB0033" w:rsidRDefault="00DB0033" w:rsidP="00621DD3">
      <w:pPr>
        <w:pStyle w:val="AJARCDE-Paragraph"/>
        <w:ind w:firstLine="0"/>
        <w:rPr>
          <w:rStyle w:val="y2iqfc"/>
          <w:rFonts w:cs="Times New Roman"/>
          <w:color w:val="202124"/>
          <w:szCs w:val="18"/>
          <w:lang w:val="en"/>
        </w:rPr>
      </w:pPr>
      <w:r w:rsidRPr="00DB0033">
        <w:rPr>
          <w:rStyle w:val="y2iqfc"/>
          <w:rFonts w:cs="Times New Roman"/>
          <w:color w:val="202124"/>
          <w:szCs w:val="18"/>
          <w:lang w:val="en"/>
        </w:rPr>
        <w:t xml:space="preserve">Indonesia is an agricultural country, a country where the majority of the population makes their living as farmers. Apart from that, the agricultural sector is </w:t>
      </w:r>
      <w:r w:rsidR="009F55C2">
        <w:rPr>
          <w:rStyle w:val="y2iqfc"/>
          <w:rFonts w:cs="Times New Roman"/>
          <w:color w:val="202124"/>
          <w:szCs w:val="18"/>
          <w:lang w:val="en"/>
        </w:rPr>
        <w:t>very important</w:t>
      </w:r>
      <w:r w:rsidRPr="00DB0033">
        <w:rPr>
          <w:rStyle w:val="y2iqfc"/>
          <w:rFonts w:cs="Times New Roman"/>
          <w:color w:val="202124"/>
          <w:szCs w:val="18"/>
          <w:lang w:val="en"/>
        </w:rPr>
        <w:t xml:space="preserve">. </w:t>
      </w:r>
      <w:r w:rsidR="00621DD3">
        <w:rPr>
          <w:rStyle w:val="y2iqfc"/>
          <w:rFonts w:cs="Times New Roman"/>
          <w:color w:val="202124"/>
          <w:szCs w:val="18"/>
          <w:lang w:val="en"/>
        </w:rPr>
        <w:t xml:space="preserve"> </w:t>
      </w:r>
      <w:proofErr w:type="gramStart"/>
      <w:r w:rsidRPr="00DB0033">
        <w:rPr>
          <w:rStyle w:val="y2iqfc"/>
          <w:rFonts w:cs="Times New Roman"/>
          <w:color w:val="202124"/>
          <w:szCs w:val="18"/>
          <w:lang w:val="en"/>
        </w:rPr>
        <w:t>So</w:t>
      </w:r>
      <w:proofErr w:type="gramEnd"/>
      <w:r w:rsidRPr="00DB0033">
        <w:rPr>
          <w:rStyle w:val="y2iqfc"/>
          <w:rFonts w:cs="Times New Roman"/>
          <w:color w:val="202124"/>
          <w:szCs w:val="18"/>
          <w:lang w:val="en"/>
        </w:rPr>
        <w:t xml:space="preserve"> development priorities are placed on the agricultural sector to meet domestic food and industrial needs, increase exports, increase farmers' income and expand employment opportunities </w:t>
      </w:r>
      <w:r w:rsidR="006C5AFA">
        <w:rPr>
          <w:rStyle w:val="y2iqfc"/>
          <w:rFonts w:cs="Times New Roman"/>
          <w:color w:val="202124"/>
          <w:szCs w:val="18"/>
          <w:lang w:val="en"/>
        </w:rPr>
        <w:t xml:space="preserve">[1]. </w:t>
      </w:r>
      <w:r w:rsidRPr="00DB0033">
        <w:rPr>
          <w:rStyle w:val="y2iqfc"/>
          <w:rFonts w:cs="Times New Roman"/>
          <w:color w:val="202124"/>
          <w:szCs w:val="18"/>
          <w:lang w:val="en"/>
        </w:rPr>
        <w:t>Food is a basic need for humans to be able to maintain life</w:t>
      </w:r>
      <w:r w:rsidR="00621DD3">
        <w:rPr>
          <w:rStyle w:val="y2iqfc"/>
          <w:rFonts w:cs="Times New Roman"/>
          <w:color w:val="202124"/>
          <w:szCs w:val="18"/>
          <w:lang w:val="en"/>
        </w:rPr>
        <w:t>,</w:t>
      </w:r>
      <w:r w:rsidRPr="00DB0033">
        <w:rPr>
          <w:rStyle w:val="y2iqfc"/>
          <w:rFonts w:cs="Times New Roman"/>
          <w:color w:val="202124"/>
          <w:szCs w:val="18"/>
          <w:lang w:val="en"/>
        </w:rPr>
        <w:t xml:space="preserve"> and because sufficient food for everyone at all times is a human right that deserves to be fulfilled. Based on this, the problem of meeting the food needs of the entire population at any time in a region is </w:t>
      </w:r>
      <w:r w:rsidR="00621DD3">
        <w:rPr>
          <w:rStyle w:val="y2iqfc"/>
          <w:rFonts w:cs="Times New Roman"/>
          <w:color w:val="202124"/>
          <w:szCs w:val="18"/>
          <w:lang w:val="en"/>
        </w:rPr>
        <w:t xml:space="preserve">a country's main </w:t>
      </w:r>
      <w:r w:rsidR="00621DD3">
        <w:rPr>
          <w:rStyle w:val="y2iqfc"/>
          <w:rFonts w:cs="Times New Roman"/>
          <w:color w:val="202124"/>
          <w:szCs w:val="18"/>
          <w:lang w:val="en"/>
        </w:rPr>
        <w:t>target of food policy</w:t>
      </w:r>
      <w:r w:rsidRPr="00DB0033">
        <w:rPr>
          <w:rStyle w:val="y2iqfc"/>
          <w:rFonts w:cs="Times New Roman"/>
          <w:color w:val="202124"/>
          <w:szCs w:val="18"/>
          <w:lang w:val="en"/>
        </w:rPr>
        <w:t xml:space="preserve">.  Indonesia, as a country with a large population, faces very complex challenges in meeting the food needs of its population, so that the problem of food security has become a central issue in development and a focus in agricultural development </w:t>
      </w:r>
      <w:r w:rsidR="006C5AFA">
        <w:rPr>
          <w:rStyle w:val="y2iqfc"/>
          <w:rFonts w:cs="Times New Roman"/>
          <w:color w:val="202124"/>
          <w:szCs w:val="18"/>
          <w:lang w:val="en"/>
        </w:rPr>
        <w:t>[2].</w:t>
      </w:r>
    </w:p>
    <w:p w14:paraId="71DAD06C" w14:textId="0CC917C9" w:rsidR="00477282" w:rsidRDefault="00DB0033" w:rsidP="00621DD3">
      <w:pPr>
        <w:pStyle w:val="AJARCDE-Paragraph"/>
        <w:rPr>
          <w:rStyle w:val="y2iqfc"/>
          <w:rFonts w:cs="Times New Roman"/>
          <w:color w:val="202124"/>
          <w:szCs w:val="18"/>
          <w:lang w:val="en"/>
        </w:rPr>
      </w:pPr>
      <w:r w:rsidRPr="00DB0033">
        <w:rPr>
          <w:rStyle w:val="y2iqfc"/>
          <w:rFonts w:cs="Times New Roman"/>
          <w:color w:val="202124"/>
          <w:szCs w:val="18"/>
          <w:lang w:val="en"/>
        </w:rPr>
        <w:t xml:space="preserve">One of the government's roles is to provide subsidies for the agricultural sector. Subsidies are a form of government assistance to reduce the burden on society by paying part of the price that should be paid by society or certain groups of society to provide goods or services related to the interests of many people's lives. One of the subsidies in the agricultural sector is fertilizer subsidies. Subsidized Fertilizer is goods under supervision whose procurement and distribution receive subsidies from the Government for the needs of farmer groups and/or farmers in the agricultural sector. Subsidized fertilizer is assistance issued by the </w:t>
      </w:r>
      <w:r w:rsidRPr="00DB0033">
        <w:rPr>
          <w:rStyle w:val="y2iqfc"/>
          <w:rFonts w:cs="Times New Roman"/>
          <w:color w:val="202124"/>
          <w:szCs w:val="18"/>
          <w:lang w:val="en"/>
        </w:rPr>
        <w:lastRenderedPageBreak/>
        <w:t xml:space="preserve">government to farmers in order to improve the quality of agricultural or plantation products in Indonesia </w:t>
      </w:r>
      <w:r w:rsidR="006C5AFA">
        <w:rPr>
          <w:rStyle w:val="y2iqfc"/>
          <w:rFonts w:cs="Times New Roman"/>
          <w:color w:val="202124"/>
          <w:szCs w:val="18"/>
          <w:lang w:val="en"/>
        </w:rPr>
        <w:t>[3]. F</w:t>
      </w:r>
      <w:r w:rsidRPr="00DB0033">
        <w:rPr>
          <w:rStyle w:val="y2iqfc"/>
          <w:rFonts w:cs="Times New Roman"/>
          <w:color w:val="202124"/>
          <w:szCs w:val="18"/>
          <w:lang w:val="en"/>
        </w:rPr>
        <w:t xml:space="preserve">ertilizer is organic or inorganic material containing nutrients that is added to planting media or plants to meet the nutritional needs of plants with the aim of maximizing growth and productivity. Fertilizer is needed to increase agricultural productivity. In fertilizer distribution, fertilizer prices are often unstable, so the government provides subsidies </w:t>
      </w:r>
      <w:r w:rsidR="00621DD3">
        <w:rPr>
          <w:rStyle w:val="y2iqfc"/>
          <w:rFonts w:cs="Times New Roman"/>
          <w:color w:val="202124"/>
          <w:szCs w:val="18"/>
          <w:lang w:val="en"/>
        </w:rPr>
        <w:t>through</w:t>
      </w:r>
      <w:r w:rsidRPr="00DB0033">
        <w:rPr>
          <w:rStyle w:val="y2iqfc"/>
          <w:rFonts w:cs="Times New Roman"/>
          <w:color w:val="202124"/>
          <w:szCs w:val="18"/>
          <w:lang w:val="en"/>
        </w:rPr>
        <w:t xml:space="preserve"> subsidized fertilizer. The government pays close attention and supervision to subsidized fertilizer in its distribution in each region. The government provides subsidized fertilizers such as urea, SP 36, ZA, NPK and Organic. In reality, various problems are often encountered, such as a scarcity of subsidized fertilizer. Various government policies to support increasing productivity and quality of food commodities are continuously being implemented</w:t>
      </w:r>
      <w:r w:rsidR="00FD0973">
        <w:rPr>
          <w:rStyle w:val="y2iqfc"/>
          <w:rFonts w:cs="Times New Roman"/>
          <w:color w:val="202124"/>
          <w:szCs w:val="18"/>
          <w:lang w:val="en"/>
        </w:rPr>
        <w:t xml:space="preserve"> sources.</w:t>
      </w:r>
    </w:p>
    <w:p w14:paraId="50222FE0" w14:textId="320B248B" w:rsidR="009F55C2" w:rsidRPr="009F55C2" w:rsidRDefault="009F55C2" w:rsidP="009F55C2">
      <w:pPr>
        <w:pStyle w:val="Heading2"/>
      </w:pPr>
      <w:r w:rsidRPr="009F55C2">
        <w:t>Literature Review</w:t>
      </w:r>
    </w:p>
    <w:p w14:paraId="320EB83A" w14:textId="355F2740" w:rsidR="00984595" w:rsidRDefault="00984595" w:rsidP="009F55C2">
      <w:pPr>
        <w:pStyle w:val="AJARCDE-Paragraph"/>
        <w:ind w:firstLine="0"/>
        <w:rPr>
          <w:rStyle w:val="y2iqfc"/>
          <w:rFonts w:cs="Times New Roman"/>
          <w:color w:val="202124"/>
          <w:szCs w:val="18"/>
          <w:lang w:val="en"/>
        </w:rPr>
      </w:pPr>
      <w:r w:rsidRPr="00805441">
        <w:rPr>
          <w:rStyle w:val="y2iqfc"/>
          <w:rFonts w:cs="Times New Roman"/>
          <w:color w:val="202124"/>
          <w:szCs w:val="18"/>
          <w:lang w:val="en"/>
        </w:rPr>
        <w:t>Various government policies to support increased productivity and quality of food commodities continue to be implemented.</w:t>
      </w:r>
      <w:r w:rsidR="004A7508">
        <w:rPr>
          <w:rStyle w:val="y2iqfc"/>
          <w:rFonts w:cs="Times New Roman"/>
          <w:color w:val="202124"/>
          <w:szCs w:val="18"/>
          <w:lang w:val="en"/>
        </w:rPr>
        <w:t xml:space="preserve"> This is to maintain domestic food availability or realize national food security. One of the government's policies is to provide fertilizer subsidies to farmers </w:t>
      </w:r>
      <w:r w:rsidRPr="00805441">
        <w:rPr>
          <w:rStyle w:val="y2iqfc"/>
          <w:rFonts w:cs="Times New Roman"/>
          <w:color w:val="202124"/>
          <w:szCs w:val="18"/>
          <w:lang w:val="en"/>
        </w:rPr>
        <w:t xml:space="preserve">to reduce production costs.  </w:t>
      </w:r>
    </w:p>
    <w:p w14:paraId="25F73D35" w14:textId="77777777" w:rsidR="00687377" w:rsidRDefault="00687377" w:rsidP="004A7508">
      <w:pPr>
        <w:pStyle w:val="AJARCDE-Paragraph"/>
        <w:rPr>
          <w:rStyle w:val="y2iqfc"/>
          <w:rFonts w:cs="Times New Roman"/>
          <w:color w:val="202124"/>
          <w:szCs w:val="18"/>
          <w:lang w:val="en"/>
        </w:rPr>
      </w:pPr>
    </w:p>
    <w:p w14:paraId="2BB8A260" w14:textId="1BBAAC2D" w:rsidR="002903E7" w:rsidRPr="002903E7" w:rsidRDefault="00687377" w:rsidP="002903E7">
      <w:pPr>
        <w:pStyle w:val="AJARCDETable-FigureCaptionSingle-Line"/>
      </w:pPr>
      <w:r w:rsidRPr="002903E7">
        <w:rPr>
          <w:rStyle w:val="y2iqfc"/>
          <w:b/>
          <w:bCs/>
        </w:rPr>
        <w:t>Table 1</w:t>
      </w:r>
      <w:r w:rsidRPr="002903E7">
        <w:rPr>
          <w:rStyle w:val="y2iqfc"/>
        </w:rPr>
        <w:t>.  Price of rubber, production, revenue, cost of production and farmer income</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36"/>
        <w:gridCol w:w="2111"/>
        <w:gridCol w:w="2117"/>
      </w:tblGrid>
      <w:tr w:rsidR="00687377" w14:paraId="7AA8F91A" w14:textId="77777777" w:rsidTr="006112E4">
        <w:tc>
          <w:tcPr>
            <w:tcW w:w="436" w:type="dxa"/>
            <w:tcBorders>
              <w:top w:val="single" w:sz="4" w:space="0" w:color="auto"/>
              <w:bottom w:val="single" w:sz="4" w:space="0" w:color="auto"/>
            </w:tcBorders>
          </w:tcPr>
          <w:p w14:paraId="45312853" w14:textId="77777777" w:rsidR="00687377" w:rsidRDefault="00687377" w:rsidP="006112E4">
            <w:pPr>
              <w:pStyle w:val="AJARCDE-Paragraph"/>
              <w:ind w:firstLine="0"/>
              <w:rPr>
                <w:noProof/>
              </w:rPr>
            </w:pPr>
            <w:r>
              <w:rPr>
                <w:noProof/>
              </w:rPr>
              <w:t>No</w:t>
            </w:r>
          </w:p>
        </w:tc>
        <w:tc>
          <w:tcPr>
            <w:tcW w:w="2111" w:type="dxa"/>
            <w:tcBorders>
              <w:top w:val="single" w:sz="4" w:space="0" w:color="auto"/>
              <w:bottom w:val="single" w:sz="4" w:space="0" w:color="auto"/>
            </w:tcBorders>
          </w:tcPr>
          <w:p w14:paraId="09E4D79D" w14:textId="77777777" w:rsidR="00687377" w:rsidRDefault="00687377" w:rsidP="006112E4">
            <w:pPr>
              <w:pStyle w:val="AJARCDE-Paragraph"/>
              <w:ind w:firstLine="0"/>
              <w:rPr>
                <w:noProof/>
              </w:rPr>
            </w:pPr>
            <w:r>
              <w:rPr>
                <w:noProof/>
              </w:rPr>
              <w:t>Item</w:t>
            </w:r>
          </w:p>
        </w:tc>
        <w:tc>
          <w:tcPr>
            <w:tcW w:w="2117" w:type="dxa"/>
            <w:tcBorders>
              <w:top w:val="single" w:sz="4" w:space="0" w:color="auto"/>
              <w:bottom w:val="single" w:sz="4" w:space="0" w:color="auto"/>
            </w:tcBorders>
          </w:tcPr>
          <w:p w14:paraId="2B30653F" w14:textId="77777777" w:rsidR="00687377" w:rsidRDefault="00687377" w:rsidP="006112E4">
            <w:pPr>
              <w:pStyle w:val="AJARCDE-Paragraph"/>
              <w:ind w:firstLine="0"/>
              <w:jc w:val="right"/>
              <w:rPr>
                <w:noProof/>
              </w:rPr>
            </w:pPr>
            <w:r>
              <w:rPr>
                <w:noProof/>
              </w:rPr>
              <w:t>Rp/month</w:t>
            </w:r>
          </w:p>
        </w:tc>
      </w:tr>
      <w:tr w:rsidR="00687377" w14:paraId="0C1A9F87" w14:textId="77777777" w:rsidTr="006112E4">
        <w:tc>
          <w:tcPr>
            <w:tcW w:w="436" w:type="dxa"/>
            <w:tcBorders>
              <w:top w:val="single" w:sz="4" w:space="0" w:color="auto"/>
            </w:tcBorders>
          </w:tcPr>
          <w:p w14:paraId="3F6944C5" w14:textId="77777777" w:rsidR="00687377" w:rsidRDefault="00687377" w:rsidP="006112E4">
            <w:pPr>
              <w:pStyle w:val="AJARCDE-Paragraph"/>
              <w:ind w:firstLine="0"/>
              <w:rPr>
                <w:noProof/>
              </w:rPr>
            </w:pPr>
            <w:r>
              <w:rPr>
                <w:noProof/>
              </w:rPr>
              <w:t>1</w:t>
            </w:r>
          </w:p>
        </w:tc>
        <w:tc>
          <w:tcPr>
            <w:tcW w:w="2111" w:type="dxa"/>
            <w:tcBorders>
              <w:top w:val="single" w:sz="4" w:space="0" w:color="auto"/>
            </w:tcBorders>
          </w:tcPr>
          <w:p w14:paraId="448009D1" w14:textId="77777777" w:rsidR="00687377" w:rsidRDefault="00687377" w:rsidP="006112E4">
            <w:pPr>
              <w:pStyle w:val="AJARCDE-Paragraph"/>
              <w:ind w:firstLine="0"/>
              <w:rPr>
                <w:noProof/>
              </w:rPr>
            </w:pPr>
            <w:r>
              <w:rPr>
                <w:noProof/>
              </w:rPr>
              <w:t>Price of rubber</w:t>
            </w:r>
          </w:p>
        </w:tc>
        <w:tc>
          <w:tcPr>
            <w:tcW w:w="2117" w:type="dxa"/>
            <w:tcBorders>
              <w:top w:val="single" w:sz="4" w:space="0" w:color="auto"/>
            </w:tcBorders>
          </w:tcPr>
          <w:p w14:paraId="7F055F01" w14:textId="77777777" w:rsidR="00687377" w:rsidRDefault="00687377" w:rsidP="006112E4">
            <w:pPr>
              <w:pStyle w:val="AJARCDE-Paragraph"/>
              <w:ind w:firstLine="0"/>
              <w:jc w:val="right"/>
              <w:rPr>
                <w:noProof/>
              </w:rPr>
            </w:pPr>
            <w:r>
              <w:rPr>
                <w:noProof/>
              </w:rPr>
              <w:t>12.901</w:t>
            </w:r>
          </w:p>
        </w:tc>
      </w:tr>
      <w:tr w:rsidR="00687377" w14:paraId="5A0DA9D5" w14:textId="77777777" w:rsidTr="006112E4">
        <w:tc>
          <w:tcPr>
            <w:tcW w:w="436" w:type="dxa"/>
          </w:tcPr>
          <w:p w14:paraId="7466C2C0" w14:textId="77777777" w:rsidR="00687377" w:rsidRDefault="00687377" w:rsidP="006112E4">
            <w:pPr>
              <w:pStyle w:val="AJARCDE-Paragraph"/>
              <w:ind w:firstLine="0"/>
              <w:rPr>
                <w:noProof/>
              </w:rPr>
            </w:pPr>
            <w:r>
              <w:rPr>
                <w:noProof/>
              </w:rPr>
              <w:t>2</w:t>
            </w:r>
          </w:p>
        </w:tc>
        <w:tc>
          <w:tcPr>
            <w:tcW w:w="2111" w:type="dxa"/>
          </w:tcPr>
          <w:p w14:paraId="254A2F3F" w14:textId="77777777" w:rsidR="00687377" w:rsidRDefault="00687377" w:rsidP="006112E4">
            <w:pPr>
              <w:pStyle w:val="AJARCDE-Paragraph"/>
              <w:ind w:firstLine="0"/>
              <w:rPr>
                <w:noProof/>
              </w:rPr>
            </w:pPr>
            <w:r>
              <w:rPr>
                <w:noProof/>
              </w:rPr>
              <w:t>Production</w:t>
            </w:r>
          </w:p>
        </w:tc>
        <w:tc>
          <w:tcPr>
            <w:tcW w:w="2117" w:type="dxa"/>
          </w:tcPr>
          <w:p w14:paraId="2A034227" w14:textId="77777777" w:rsidR="00687377" w:rsidRDefault="00687377" w:rsidP="006112E4">
            <w:pPr>
              <w:pStyle w:val="AJARCDE-Paragraph"/>
              <w:ind w:firstLine="0"/>
              <w:jc w:val="right"/>
              <w:rPr>
                <w:noProof/>
              </w:rPr>
            </w:pPr>
            <w:r>
              <w:rPr>
                <w:noProof/>
              </w:rPr>
              <w:t>309.21</w:t>
            </w:r>
          </w:p>
        </w:tc>
      </w:tr>
      <w:tr w:rsidR="00687377" w14:paraId="16BA24A2" w14:textId="77777777" w:rsidTr="006112E4">
        <w:tc>
          <w:tcPr>
            <w:tcW w:w="436" w:type="dxa"/>
          </w:tcPr>
          <w:p w14:paraId="59393E26" w14:textId="77777777" w:rsidR="00687377" w:rsidRDefault="00687377" w:rsidP="006112E4">
            <w:pPr>
              <w:pStyle w:val="AJARCDE-Paragraph"/>
              <w:ind w:firstLine="0"/>
              <w:rPr>
                <w:noProof/>
              </w:rPr>
            </w:pPr>
            <w:r>
              <w:rPr>
                <w:noProof/>
              </w:rPr>
              <w:t>3</w:t>
            </w:r>
          </w:p>
        </w:tc>
        <w:tc>
          <w:tcPr>
            <w:tcW w:w="2111" w:type="dxa"/>
          </w:tcPr>
          <w:p w14:paraId="0412159E" w14:textId="77777777" w:rsidR="00687377" w:rsidRDefault="00687377" w:rsidP="006112E4">
            <w:pPr>
              <w:pStyle w:val="AJARCDE-Paragraph"/>
              <w:ind w:firstLine="0"/>
              <w:rPr>
                <w:noProof/>
              </w:rPr>
            </w:pPr>
            <w:r>
              <w:rPr>
                <w:noProof/>
              </w:rPr>
              <w:t>Revenue</w:t>
            </w:r>
          </w:p>
        </w:tc>
        <w:tc>
          <w:tcPr>
            <w:tcW w:w="2117" w:type="dxa"/>
          </w:tcPr>
          <w:p w14:paraId="44D411C2" w14:textId="77777777" w:rsidR="00687377" w:rsidRDefault="00687377" w:rsidP="006112E4">
            <w:pPr>
              <w:pStyle w:val="AJARCDE-Paragraph"/>
              <w:ind w:firstLine="0"/>
              <w:jc w:val="right"/>
              <w:rPr>
                <w:noProof/>
              </w:rPr>
            </w:pPr>
            <w:r>
              <w:rPr>
                <w:noProof/>
              </w:rPr>
              <w:t>3.989.100</w:t>
            </w:r>
          </w:p>
        </w:tc>
      </w:tr>
      <w:tr w:rsidR="00687377" w14:paraId="61F1998B" w14:textId="77777777" w:rsidTr="006112E4">
        <w:tc>
          <w:tcPr>
            <w:tcW w:w="436" w:type="dxa"/>
          </w:tcPr>
          <w:p w14:paraId="7E1C1691" w14:textId="77777777" w:rsidR="00687377" w:rsidRDefault="00687377" w:rsidP="006112E4">
            <w:pPr>
              <w:pStyle w:val="AJARCDE-Paragraph"/>
              <w:ind w:firstLine="0"/>
              <w:rPr>
                <w:noProof/>
              </w:rPr>
            </w:pPr>
            <w:r>
              <w:rPr>
                <w:noProof/>
              </w:rPr>
              <w:t>4</w:t>
            </w:r>
          </w:p>
        </w:tc>
        <w:tc>
          <w:tcPr>
            <w:tcW w:w="2111" w:type="dxa"/>
          </w:tcPr>
          <w:p w14:paraId="169AAFF7" w14:textId="77777777" w:rsidR="00687377" w:rsidRDefault="00687377" w:rsidP="006112E4">
            <w:pPr>
              <w:pStyle w:val="AJARCDE-Paragraph"/>
              <w:ind w:firstLine="0"/>
              <w:rPr>
                <w:noProof/>
              </w:rPr>
            </w:pPr>
            <w:r>
              <w:rPr>
                <w:noProof/>
              </w:rPr>
              <w:t>Cost of production</w:t>
            </w:r>
          </w:p>
        </w:tc>
        <w:tc>
          <w:tcPr>
            <w:tcW w:w="2117" w:type="dxa"/>
          </w:tcPr>
          <w:p w14:paraId="475D50CD" w14:textId="77777777" w:rsidR="00687377" w:rsidRDefault="00687377" w:rsidP="006112E4">
            <w:pPr>
              <w:pStyle w:val="AJARCDE-Paragraph"/>
              <w:ind w:firstLine="0"/>
              <w:jc w:val="right"/>
              <w:rPr>
                <w:noProof/>
              </w:rPr>
            </w:pPr>
            <w:r>
              <w:rPr>
                <w:noProof/>
              </w:rPr>
              <w:t>615.782</w:t>
            </w:r>
          </w:p>
        </w:tc>
      </w:tr>
      <w:tr w:rsidR="00687377" w14:paraId="396593D7" w14:textId="77777777" w:rsidTr="006112E4">
        <w:tc>
          <w:tcPr>
            <w:tcW w:w="436" w:type="dxa"/>
          </w:tcPr>
          <w:p w14:paraId="0C9C57DE" w14:textId="77777777" w:rsidR="00687377" w:rsidRDefault="00687377" w:rsidP="006112E4">
            <w:pPr>
              <w:pStyle w:val="AJARCDE-Paragraph"/>
              <w:ind w:firstLine="0"/>
              <w:rPr>
                <w:noProof/>
              </w:rPr>
            </w:pPr>
            <w:r>
              <w:rPr>
                <w:noProof/>
              </w:rPr>
              <w:t>5</w:t>
            </w:r>
          </w:p>
        </w:tc>
        <w:tc>
          <w:tcPr>
            <w:tcW w:w="2111" w:type="dxa"/>
          </w:tcPr>
          <w:p w14:paraId="64E3A87A" w14:textId="77777777" w:rsidR="00687377" w:rsidRDefault="00687377" w:rsidP="006112E4">
            <w:pPr>
              <w:pStyle w:val="AJARCDE-Paragraph"/>
              <w:ind w:firstLine="0"/>
              <w:rPr>
                <w:noProof/>
              </w:rPr>
            </w:pPr>
            <w:r>
              <w:rPr>
                <w:noProof/>
              </w:rPr>
              <w:t>Farmer income</w:t>
            </w:r>
          </w:p>
        </w:tc>
        <w:tc>
          <w:tcPr>
            <w:tcW w:w="2117" w:type="dxa"/>
          </w:tcPr>
          <w:p w14:paraId="0CC33F71" w14:textId="77777777" w:rsidR="00687377" w:rsidRDefault="00687377" w:rsidP="006112E4">
            <w:pPr>
              <w:pStyle w:val="AJARCDE-Paragraph"/>
              <w:ind w:firstLine="0"/>
              <w:jc w:val="right"/>
              <w:rPr>
                <w:noProof/>
              </w:rPr>
            </w:pPr>
            <w:r>
              <w:rPr>
                <w:noProof/>
              </w:rPr>
              <w:t>3.373.300</w:t>
            </w:r>
          </w:p>
        </w:tc>
      </w:tr>
    </w:tbl>
    <w:p w14:paraId="7708A4A5" w14:textId="77777777" w:rsidR="00687377" w:rsidRPr="00805441" w:rsidRDefault="00687377" w:rsidP="00687377">
      <w:pPr>
        <w:pStyle w:val="AJARCDE-Paragraph"/>
        <w:ind w:firstLine="0"/>
        <w:rPr>
          <w:rStyle w:val="y2iqfc"/>
          <w:rFonts w:cs="Times New Roman"/>
          <w:color w:val="202124"/>
          <w:szCs w:val="18"/>
          <w:lang w:val="en"/>
        </w:rPr>
      </w:pPr>
    </w:p>
    <w:p w14:paraId="79BE5B7D" w14:textId="04F5E7F5" w:rsidR="00984595" w:rsidRPr="00805441" w:rsidRDefault="00984595" w:rsidP="004A7508">
      <w:pPr>
        <w:pStyle w:val="AJARCDE-Paragraph"/>
        <w:rPr>
          <w:rStyle w:val="y2iqfc"/>
          <w:rFonts w:cs="Times New Roman"/>
          <w:color w:val="202124"/>
          <w:szCs w:val="18"/>
          <w:lang w:val="en"/>
        </w:rPr>
      </w:pPr>
      <w:r w:rsidRPr="00805441">
        <w:rPr>
          <w:rStyle w:val="y2iqfc"/>
          <w:rFonts w:cs="Times New Roman"/>
          <w:color w:val="202124"/>
          <w:szCs w:val="18"/>
          <w:lang w:val="en"/>
        </w:rPr>
        <w:t xml:space="preserve">The fertilizer subsidy policy experiences pros and cons from year to year. On the one hand, the government is persisting with the fertilizer subsidy policy to maintain food security by maintaining production levels. Production can be maintained to meet food needs by providing good inputs, one of which is fertilizer. Adequate use of fertilizer in terms of quantity, quality and continuity is needed to reduce the decline in soil fertility and increase sustainable productivity </w:t>
      </w:r>
      <w:r w:rsidR="006C5AFA">
        <w:rPr>
          <w:rStyle w:val="y2iqfc"/>
          <w:rFonts w:cs="Times New Roman"/>
          <w:color w:val="202124"/>
          <w:szCs w:val="18"/>
          <w:lang w:val="en"/>
        </w:rPr>
        <w:t>[4]</w:t>
      </w:r>
      <w:r w:rsidRPr="00805441">
        <w:rPr>
          <w:rStyle w:val="y2iqfc"/>
          <w:rFonts w:cs="Times New Roman"/>
          <w:color w:val="202124"/>
          <w:szCs w:val="18"/>
          <w:lang w:val="en"/>
        </w:rPr>
        <w:t xml:space="preserve">, so if fertilizer subsidies are reduced it is feared that it will disrupt productivity. However, on the other hand, the budget allocation for the fertilizer subsidy policy is very large. The government must start cutting the fertilizer subsidy budget and divert it to other programs, especially investment in agricultural technology. </w:t>
      </w:r>
    </w:p>
    <w:p w14:paraId="6700E975" w14:textId="7085A543" w:rsidR="00984595" w:rsidRDefault="00984595" w:rsidP="004A7508">
      <w:pPr>
        <w:pStyle w:val="AJARCDE-Paragraph"/>
        <w:rPr>
          <w:rStyle w:val="y2iqfc"/>
          <w:rFonts w:cs="Times New Roman"/>
          <w:color w:val="202124"/>
          <w:szCs w:val="18"/>
          <w:lang w:val="en"/>
        </w:rPr>
      </w:pPr>
      <w:r w:rsidRPr="00805441">
        <w:rPr>
          <w:rStyle w:val="y2iqfc"/>
          <w:rFonts w:cs="Times New Roman"/>
          <w:color w:val="202124"/>
          <w:szCs w:val="18"/>
          <w:lang w:val="en"/>
        </w:rPr>
        <w:t>Farmers are complaining about this situation because the government is targeting an increase in production. Subsidized fertilizer is very limited, the amount is not much. So many farmers get non-subsidies, but in reality</w:t>
      </w:r>
      <w:r w:rsidR="00621DD3">
        <w:rPr>
          <w:rStyle w:val="y2iqfc"/>
          <w:rFonts w:cs="Times New Roman"/>
          <w:color w:val="202124"/>
          <w:szCs w:val="18"/>
          <w:lang w:val="en"/>
        </w:rPr>
        <w:t>,</w:t>
      </w:r>
      <w:r w:rsidRPr="00805441">
        <w:rPr>
          <w:rStyle w:val="y2iqfc"/>
          <w:rFonts w:cs="Times New Roman"/>
          <w:color w:val="202124"/>
          <w:szCs w:val="18"/>
          <w:lang w:val="en"/>
        </w:rPr>
        <w:t xml:space="preserve"> it is also difficult to get them. The company distributes subsidized fertilizer according to the mechanism determined by the government. In 2021, PT. PUSRI is obliged to distribute 230,000 tons of subsidized urea and NPK fertilizer to 17 districts/cities in South Sumatra. Regarding farmers' needs, </w:t>
      </w:r>
      <w:proofErr w:type="spellStart"/>
      <w:r w:rsidRPr="00805441">
        <w:rPr>
          <w:rStyle w:val="y2iqfc"/>
          <w:rFonts w:cs="Times New Roman"/>
          <w:color w:val="202124"/>
          <w:szCs w:val="18"/>
          <w:lang w:val="en"/>
        </w:rPr>
        <w:t>Pusri</w:t>
      </w:r>
      <w:proofErr w:type="spellEnd"/>
      <w:r w:rsidRPr="00805441">
        <w:rPr>
          <w:rStyle w:val="y2iqfc"/>
          <w:rFonts w:cs="Times New Roman"/>
          <w:color w:val="202124"/>
          <w:szCs w:val="18"/>
          <w:lang w:val="en"/>
        </w:rPr>
        <w:t xml:space="preserve"> also provides non-subsidized fertilizer, with the company's production capacity guaranteed to meet South Sumatra's needs. Distribution of subsidized fertilizer is in accordance with the Electronic Group Definitive Needs Plan (e-RDKK) mechanism managed by the Ministry of Agriculture. </w:t>
      </w:r>
      <w:r w:rsidR="00621DD3">
        <w:rPr>
          <w:rStyle w:val="y2iqfc"/>
          <w:rFonts w:cs="Times New Roman"/>
          <w:color w:val="202124"/>
          <w:szCs w:val="18"/>
          <w:lang w:val="en"/>
        </w:rPr>
        <w:t>Implementing</w:t>
      </w:r>
      <w:r w:rsidRPr="00805441">
        <w:rPr>
          <w:rStyle w:val="y2iqfc"/>
          <w:rFonts w:cs="Times New Roman"/>
          <w:color w:val="202124"/>
          <w:szCs w:val="18"/>
          <w:lang w:val="en"/>
        </w:rPr>
        <w:t xml:space="preserve"> the e-RDKK system can minimize fraud so that the distribution of subsidized fertilizer is right on target. In distributing subsidized fertilizer, </w:t>
      </w:r>
      <w:proofErr w:type="spellStart"/>
      <w:r w:rsidRPr="00805441">
        <w:rPr>
          <w:rStyle w:val="y2iqfc"/>
          <w:rFonts w:cs="Times New Roman"/>
          <w:color w:val="202124"/>
          <w:szCs w:val="18"/>
          <w:lang w:val="en"/>
        </w:rPr>
        <w:t>Pusri</w:t>
      </w:r>
      <w:proofErr w:type="spellEnd"/>
      <w:r w:rsidRPr="00805441">
        <w:rPr>
          <w:rStyle w:val="y2iqfc"/>
          <w:rFonts w:cs="Times New Roman"/>
          <w:color w:val="202124"/>
          <w:szCs w:val="18"/>
          <w:lang w:val="en"/>
        </w:rPr>
        <w:t xml:space="preserve"> refers to the Minister of </w:t>
      </w:r>
      <w:r w:rsidRPr="00805441">
        <w:rPr>
          <w:rStyle w:val="y2iqfc"/>
          <w:rFonts w:cs="Times New Roman"/>
          <w:color w:val="202124"/>
          <w:szCs w:val="18"/>
          <w:lang w:val="en"/>
        </w:rPr>
        <w:t xml:space="preserve">Trade Regulation Number 15/M-DAG/PER/4/2013 concerning </w:t>
      </w:r>
      <w:r w:rsidR="00621DD3">
        <w:rPr>
          <w:rStyle w:val="y2iqfc"/>
          <w:rFonts w:cs="Times New Roman"/>
          <w:color w:val="202124"/>
          <w:szCs w:val="18"/>
          <w:lang w:val="en"/>
        </w:rPr>
        <w:t xml:space="preserve">the </w:t>
      </w:r>
      <w:r w:rsidRPr="00805441">
        <w:rPr>
          <w:rStyle w:val="y2iqfc"/>
          <w:rFonts w:cs="Times New Roman"/>
          <w:color w:val="202124"/>
          <w:szCs w:val="18"/>
          <w:lang w:val="en"/>
        </w:rPr>
        <w:t>Procurement and Distribution of Subsidized Fertilizer for the Agricultural Sector nationally starting from Line I to Line IV. So far, PT. PUSRI ensures that subsidized fertilizer stocks are available in accordance with the allocation determined by the government. Apart from ensuring the fulfillment of fertilizer stocks at retail kiosks, PT. PUSRI also ensures that in the distribution of subsidized fertilizer</w:t>
      </w:r>
      <w:r w:rsidR="009F55C2">
        <w:rPr>
          <w:rStyle w:val="y2iqfc"/>
          <w:rFonts w:cs="Times New Roman"/>
          <w:color w:val="202124"/>
          <w:szCs w:val="18"/>
          <w:lang w:val="en"/>
        </w:rPr>
        <w:t>,</w:t>
      </w:r>
      <w:r w:rsidRPr="00805441">
        <w:rPr>
          <w:rStyle w:val="y2iqfc"/>
          <w:rFonts w:cs="Times New Roman"/>
          <w:color w:val="202124"/>
          <w:szCs w:val="18"/>
          <w:lang w:val="en"/>
        </w:rPr>
        <w:t xml:space="preserve"> there is no misuse or scarcity of fertilizer. </w:t>
      </w:r>
      <w:r w:rsidR="00214D89">
        <w:rPr>
          <w:rStyle w:val="y2iqfc"/>
          <w:rFonts w:cs="Times New Roman"/>
          <w:color w:val="202124"/>
          <w:szCs w:val="18"/>
          <w:lang w:val="en"/>
        </w:rPr>
        <w:t>Up to 8 February 2021, the distribution of subsidized urea fertilizer reached 11,607.30 tons and 10,657.55 tons of subsidized NPK fertilizer for the South Sumatra region</w:t>
      </w:r>
      <w:r w:rsidRPr="00805441">
        <w:rPr>
          <w:rStyle w:val="y2iqfc"/>
          <w:rFonts w:cs="Times New Roman"/>
          <w:color w:val="202124"/>
          <w:szCs w:val="18"/>
          <w:lang w:val="en"/>
        </w:rPr>
        <w:t xml:space="preserve">. PT </w:t>
      </w:r>
      <w:proofErr w:type="spellStart"/>
      <w:r w:rsidRPr="00805441">
        <w:rPr>
          <w:rStyle w:val="y2iqfc"/>
          <w:rFonts w:cs="Times New Roman"/>
          <w:color w:val="202124"/>
          <w:szCs w:val="18"/>
          <w:lang w:val="en"/>
        </w:rPr>
        <w:t>Pupuk</w:t>
      </w:r>
      <w:proofErr w:type="spellEnd"/>
      <w:r w:rsidRPr="00805441">
        <w:rPr>
          <w:rStyle w:val="y2iqfc"/>
          <w:rFonts w:cs="Times New Roman"/>
          <w:color w:val="202124"/>
          <w:szCs w:val="18"/>
          <w:lang w:val="en"/>
        </w:rPr>
        <w:t xml:space="preserve"> Indonesia (Persero) has prepared a stock of subsidized fertilizer in the South Sumatra (</w:t>
      </w:r>
      <w:proofErr w:type="spellStart"/>
      <w:r w:rsidRPr="00805441">
        <w:rPr>
          <w:rStyle w:val="y2iqfc"/>
          <w:rFonts w:cs="Times New Roman"/>
          <w:color w:val="202124"/>
          <w:szCs w:val="18"/>
          <w:lang w:val="en"/>
        </w:rPr>
        <w:t>Sumsel</w:t>
      </w:r>
      <w:proofErr w:type="spellEnd"/>
      <w:r w:rsidRPr="00805441">
        <w:rPr>
          <w:rStyle w:val="y2iqfc"/>
          <w:rFonts w:cs="Times New Roman"/>
          <w:color w:val="202124"/>
          <w:szCs w:val="18"/>
          <w:lang w:val="en"/>
        </w:rPr>
        <w:t xml:space="preserve">) region </w:t>
      </w:r>
      <w:r w:rsidR="0047363D">
        <w:rPr>
          <w:rStyle w:val="y2iqfc"/>
          <w:rFonts w:cs="Times New Roman"/>
          <w:color w:val="202124"/>
          <w:szCs w:val="18"/>
          <w:lang w:val="en"/>
        </w:rPr>
        <w:t xml:space="preserve">of </w:t>
      </w:r>
      <w:r w:rsidRPr="00805441">
        <w:rPr>
          <w:rStyle w:val="y2iqfc"/>
          <w:rFonts w:cs="Times New Roman"/>
          <w:color w:val="202124"/>
          <w:szCs w:val="18"/>
          <w:lang w:val="en"/>
        </w:rPr>
        <w:t>as much as 18,482 tons to meet the October 2021-March 2022 planting season.</w:t>
      </w:r>
    </w:p>
    <w:p w14:paraId="73EE602E" w14:textId="77777777" w:rsidR="00687377" w:rsidRDefault="00687377" w:rsidP="00687377">
      <w:pPr>
        <w:pStyle w:val="AJARCDE-Paragraph"/>
        <w:ind w:firstLine="0"/>
        <w:rPr>
          <w:rStyle w:val="y2iqfc"/>
          <w:rFonts w:cs="Times New Roman"/>
          <w:color w:val="202124"/>
          <w:szCs w:val="18"/>
          <w:lang w:val="en"/>
        </w:rPr>
      </w:pPr>
    </w:p>
    <w:p w14:paraId="22A4F6BF" w14:textId="77777777" w:rsidR="00687377" w:rsidRDefault="00687377" w:rsidP="00687377">
      <w:pPr>
        <w:pBdr>
          <w:top w:val="nil"/>
          <w:left w:val="nil"/>
          <w:bottom w:val="nil"/>
          <w:right w:val="nil"/>
          <w:between w:val="nil"/>
        </w:pBdr>
        <w:rPr>
          <w:color w:val="000000"/>
        </w:rPr>
      </w:pPr>
      <w:r>
        <w:rPr>
          <w:noProof/>
          <w:color w:val="000000"/>
        </w:rPr>
        <w:drawing>
          <wp:inline distT="0" distB="0" distL="0" distR="0" wp14:anchorId="24ECC406" wp14:editId="2A28EBC7">
            <wp:extent cx="2995823" cy="755678"/>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995823" cy="755678"/>
                    </a:xfrm>
                    <a:prstGeom prst="rect">
                      <a:avLst/>
                    </a:prstGeom>
                    <a:ln/>
                  </pic:spPr>
                </pic:pic>
              </a:graphicData>
            </a:graphic>
          </wp:inline>
        </w:drawing>
      </w:r>
    </w:p>
    <w:p w14:paraId="2D9AC10C" w14:textId="77777777" w:rsidR="00687377" w:rsidRDefault="00687377" w:rsidP="002903E7">
      <w:pPr>
        <w:pStyle w:val="AJARCDETable-FigureCaptionSingle-Line"/>
      </w:pPr>
      <w:r w:rsidRPr="00687377">
        <w:rPr>
          <w:b/>
          <w:bCs/>
        </w:rPr>
        <w:t>Fig. 1</w:t>
      </w:r>
      <w:r>
        <w:t>. Pretreatment of 2% NaOH: (A) Raw material, (B) Particle size (C) Common reed after 3 days, and (D) After mixed by a blender.</w:t>
      </w:r>
    </w:p>
    <w:p w14:paraId="05CCF378" w14:textId="77777777" w:rsidR="00687377" w:rsidRPr="00805441" w:rsidRDefault="00687377" w:rsidP="00687377">
      <w:pPr>
        <w:pStyle w:val="AJARCDE-Paragraph"/>
        <w:ind w:firstLine="0"/>
        <w:rPr>
          <w:rStyle w:val="y2iqfc"/>
          <w:rFonts w:cs="Times New Roman"/>
          <w:color w:val="202124"/>
          <w:szCs w:val="18"/>
          <w:lang w:val="en"/>
        </w:rPr>
      </w:pPr>
    </w:p>
    <w:p w14:paraId="49642D4C" w14:textId="4A9469C6" w:rsidR="00101179" w:rsidRPr="009F55C2" w:rsidRDefault="00101179" w:rsidP="009F55C2">
      <w:pPr>
        <w:pStyle w:val="Heading3"/>
        <w:rPr>
          <w:rStyle w:val="y2iqfc"/>
        </w:rPr>
      </w:pPr>
      <w:r w:rsidRPr="009F55C2">
        <w:rPr>
          <w:rStyle w:val="y2iqfc"/>
        </w:rPr>
        <w:t>Subsidized fertilizer</w:t>
      </w:r>
    </w:p>
    <w:p w14:paraId="04292E6B" w14:textId="4EBC5D14" w:rsidR="00101179" w:rsidRDefault="00101179" w:rsidP="00101179">
      <w:pPr>
        <w:pStyle w:val="HTMLPreformatted"/>
        <w:shd w:val="clear" w:color="auto" w:fill="F8F9FA"/>
        <w:spacing w:line="276" w:lineRule="auto"/>
        <w:jc w:val="both"/>
        <w:rPr>
          <w:rStyle w:val="y2iqfc"/>
          <w:rFonts w:ascii="Times New Roman" w:hAnsi="Times New Roman" w:cs="Times New Roman"/>
          <w:color w:val="202124"/>
          <w:sz w:val="18"/>
          <w:szCs w:val="18"/>
          <w:lang w:val="en"/>
        </w:rPr>
      </w:pPr>
      <w:r w:rsidRPr="00101179">
        <w:rPr>
          <w:rStyle w:val="y2iqfc"/>
          <w:rFonts w:ascii="Times New Roman" w:hAnsi="Times New Roman" w:cs="Times New Roman"/>
          <w:color w:val="202124"/>
          <w:sz w:val="18"/>
          <w:szCs w:val="18"/>
          <w:lang w:val="en"/>
        </w:rPr>
        <w:t xml:space="preserve">Subsidized fertilizer is fertilizer whose procurement and distribution receive subsidies from the government for farmers' needs which is carried out </w:t>
      </w:r>
      <w:r w:rsidR="00B93AD6">
        <w:rPr>
          <w:rStyle w:val="y2iqfc"/>
          <w:rFonts w:ascii="Times New Roman" w:hAnsi="Times New Roman" w:cs="Times New Roman"/>
          <w:color w:val="202124"/>
          <w:sz w:val="18"/>
          <w:szCs w:val="18"/>
          <w:lang w:val="en"/>
        </w:rPr>
        <w:t>based on</w:t>
      </w:r>
      <w:r w:rsidRPr="00101179">
        <w:rPr>
          <w:rStyle w:val="y2iqfc"/>
          <w:rFonts w:ascii="Times New Roman" w:hAnsi="Times New Roman" w:cs="Times New Roman"/>
          <w:color w:val="202124"/>
          <w:sz w:val="18"/>
          <w:szCs w:val="18"/>
          <w:lang w:val="en"/>
        </w:rPr>
        <w:t xml:space="preserve"> a government program. Companies that produce Urea, SP-36, ZA, NPK </w:t>
      </w:r>
      <w:proofErr w:type="spellStart"/>
      <w:r w:rsidRPr="00101179">
        <w:rPr>
          <w:rStyle w:val="y2iqfc"/>
          <w:rFonts w:ascii="Times New Roman" w:hAnsi="Times New Roman" w:cs="Times New Roman"/>
          <w:color w:val="202124"/>
          <w:sz w:val="18"/>
          <w:szCs w:val="18"/>
          <w:lang w:val="en"/>
        </w:rPr>
        <w:t>Phonska</w:t>
      </w:r>
      <w:proofErr w:type="spellEnd"/>
      <w:r w:rsidRPr="00101179">
        <w:rPr>
          <w:rStyle w:val="y2iqfc"/>
          <w:rFonts w:ascii="Times New Roman" w:hAnsi="Times New Roman" w:cs="Times New Roman"/>
          <w:color w:val="202124"/>
          <w:sz w:val="18"/>
          <w:szCs w:val="18"/>
          <w:lang w:val="en"/>
        </w:rPr>
        <w:t xml:space="preserve"> and organic fertilizers domestically are PT </w:t>
      </w:r>
      <w:proofErr w:type="spellStart"/>
      <w:r w:rsidRPr="00101179">
        <w:rPr>
          <w:rStyle w:val="y2iqfc"/>
          <w:rFonts w:ascii="Times New Roman" w:hAnsi="Times New Roman" w:cs="Times New Roman"/>
          <w:color w:val="202124"/>
          <w:sz w:val="18"/>
          <w:szCs w:val="18"/>
          <w:lang w:val="en"/>
        </w:rPr>
        <w:t>Pupuk</w:t>
      </w:r>
      <w:proofErr w:type="spellEnd"/>
      <w:r w:rsidRPr="00101179">
        <w:rPr>
          <w:rStyle w:val="y2iqfc"/>
          <w:rFonts w:ascii="Times New Roman" w:hAnsi="Times New Roman" w:cs="Times New Roman"/>
          <w:color w:val="202124"/>
          <w:sz w:val="18"/>
          <w:szCs w:val="18"/>
          <w:lang w:val="en"/>
        </w:rPr>
        <w:t xml:space="preserve"> </w:t>
      </w:r>
      <w:proofErr w:type="spellStart"/>
      <w:r w:rsidRPr="00101179">
        <w:rPr>
          <w:rStyle w:val="y2iqfc"/>
          <w:rFonts w:ascii="Times New Roman" w:hAnsi="Times New Roman" w:cs="Times New Roman"/>
          <w:color w:val="202124"/>
          <w:sz w:val="18"/>
          <w:szCs w:val="18"/>
          <w:lang w:val="en"/>
        </w:rPr>
        <w:t>Sriwidjaja</w:t>
      </w:r>
      <w:proofErr w:type="spellEnd"/>
      <w:r w:rsidRPr="00101179">
        <w:rPr>
          <w:rStyle w:val="y2iqfc"/>
          <w:rFonts w:ascii="Times New Roman" w:hAnsi="Times New Roman" w:cs="Times New Roman"/>
          <w:color w:val="202124"/>
          <w:sz w:val="18"/>
          <w:szCs w:val="18"/>
          <w:lang w:val="en"/>
        </w:rPr>
        <w:t xml:space="preserve">, PT </w:t>
      </w:r>
      <w:proofErr w:type="spellStart"/>
      <w:r w:rsidRPr="00101179">
        <w:rPr>
          <w:rStyle w:val="y2iqfc"/>
          <w:rFonts w:ascii="Times New Roman" w:hAnsi="Times New Roman" w:cs="Times New Roman"/>
          <w:color w:val="202124"/>
          <w:sz w:val="18"/>
          <w:szCs w:val="18"/>
          <w:lang w:val="en"/>
        </w:rPr>
        <w:t>Pupuk</w:t>
      </w:r>
      <w:proofErr w:type="spellEnd"/>
      <w:r w:rsidRPr="00101179">
        <w:rPr>
          <w:rStyle w:val="y2iqfc"/>
          <w:rFonts w:ascii="Times New Roman" w:hAnsi="Times New Roman" w:cs="Times New Roman"/>
          <w:color w:val="202124"/>
          <w:sz w:val="18"/>
          <w:szCs w:val="18"/>
          <w:lang w:val="en"/>
        </w:rPr>
        <w:t xml:space="preserve"> Kujang, PT </w:t>
      </w:r>
      <w:proofErr w:type="spellStart"/>
      <w:r w:rsidRPr="00101179">
        <w:rPr>
          <w:rStyle w:val="y2iqfc"/>
          <w:rFonts w:ascii="Times New Roman" w:hAnsi="Times New Roman" w:cs="Times New Roman"/>
          <w:color w:val="202124"/>
          <w:sz w:val="18"/>
          <w:szCs w:val="18"/>
          <w:lang w:val="en"/>
        </w:rPr>
        <w:t>Pupuk</w:t>
      </w:r>
      <w:proofErr w:type="spellEnd"/>
      <w:r w:rsidRPr="00101179">
        <w:rPr>
          <w:rStyle w:val="y2iqfc"/>
          <w:rFonts w:ascii="Times New Roman" w:hAnsi="Times New Roman" w:cs="Times New Roman"/>
          <w:color w:val="202124"/>
          <w:sz w:val="18"/>
          <w:szCs w:val="18"/>
          <w:lang w:val="en"/>
        </w:rPr>
        <w:t xml:space="preserve"> Kalimantan Timur, PT </w:t>
      </w:r>
      <w:proofErr w:type="spellStart"/>
      <w:r w:rsidRPr="00101179">
        <w:rPr>
          <w:rStyle w:val="y2iqfc"/>
          <w:rFonts w:ascii="Times New Roman" w:hAnsi="Times New Roman" w:cs="Times New Roman"/>
          <w:color w:val="202124"/>
          <w:sz w:val="18"/>
          <w:szCs w:val="18"/>
          <w:lang w:val="en"/>
        </w:rPr>
        <w:t>Pupuk</w:t>
      </w:r>
      <w:proofErr w:type="spellEnd"/>
      <w:r w:rsidRPr="00101179">
        <w:rPr>
          <w:rStyle w:val="y2iqfc"/>
          <w:rFonts w:ascii="Times New Roman" w:hAnsi="Times New Roman" w:cs="Times New Roman"/>
          <w:color w:val="202124"/>
          <w:sz w:val="18"/>
          <w:szCs w:val="18"/>
          <w:lang w:val="en"/>
        </w:rPr>
        <w:t xml:space="preserve"> Iskandar Muda and PT </w:t>
      </w:r>
      <w:proofErr w:type="spellStart"/>
      <w:r w:rsidRPr="00101179">
        <w:rPr>
          <w:rStyle w:val="y2iqfc"/>
          <w:rFonts w:ascii="Times New Roman" w:hAnsi="Times New Roman" w:cs="Times New Roman"/>
          <w:color w:val="202124"/>
          <w:sz w:val="18"/>
          <w:szCs w:val="18"/>
          <w:lang w:val="en"/>
        </w:rPr>
        <w:t>Petrokimia</w:t>
      </w:r>
      <w:proofErr w:type="spellEnd"/>
      <w:r w:rsidRPr="00101179">
        <w:rPr>
          <w:rStyle w:val="y2iqfc"/>
          <w:rFonts w:ascii="Times New Roman" w:hAnsi="Times New Roman" w:cs="Times New Roman"/>
          <w:color w:val="202124"/>
          <w:sz w:val="18"/>
          <w:szCs w:val="18"/>
          <w:lang w:val="en"/>
        </w:rPr>
        <w:t xml:space="preserve"> Gresik. Distributors are legal business entities appointed by producers to purchase, store, sell and market subsidized fertilizers, in bulk to be sold to end consumers through retailers. Meanwhile, official retailers are individuals or business entities appointed by distributors whose main activity is selling directly to final consumers in small parties </w:t>
      </w:r>
      <w:r w:rsidR="00E31D83">
        <w:rPr>
          <w:rStyle w:val="y2iqfc"/>
          <w:rFonts w:ascii="Times New Roman" w:hAnsi="Times New Roman" w:cs="Times New Roman"/>
          <w:color w:val="202124"/>
          <w:sz w:val="18"/>
          <w:szCs w:val="18"/>
          <w:lang w:val="en"/>
        </w:rPr>
        <w:t>[11].</w:t>
      </w:r>
    </w:p>
    <w:p w14:paraId="202EBADC" w14:textId="0862198F" w:rsidR="009F55C2" w:rsidRPr="009F55C2" w:rsidRDefault="009F55C2" w:rsidP="009F55C2">
      <w:pPr>
        <w:pStyle w:val="Heading3"/>
        <w:rPr>
          <w:rStyle w:val="y2iqfc"/>
        </w:rPr>
      </w:pPr>
      <w:r w:rsidRPr="009F55C2">
        <w:t>The level of farmers satisfaction of UPPB</w:t>
      </w:r>
    </w:p>
    <w:p w14:paraId="0BE3420A" w14:textId="77777777" w:rsidR="009F55C2" w:rsidRPr="00DE3AC8" w:rsidRDefault="009F55C2" w:rsidP="009F55C2">
      <w:pPr>
        <w:pStyle w:val="AJARCDE-Paragraph"/>
        <w:ind w:firstLine="0"/>
        <w:rPr>
          <w:bCs/>
        </w:rPr>
      </w:pPr>
      <w:r w:rsidRPr="00DE3AC8">
        <w:rPr>
          <w:bCs/>
        </w:rPr>
        <w:t>Satisfaction is the level of a person's feelings after comparing the performance or results he feels compared to his expectations. Rubber farmer satisfaction is an important factor that must be considered in business development. The level of farmer satisfaction with UPPB membership will positively impact the business's continuity. Farmers who feel satisfied tend to be enthusiastic and active in their membership.</w:t>
      </w:r>
    </w:p>
    <w:p w14:paraId="286942D7" w14:textId="77777777" w:rsidR="009F55C2" w:rsidRPr="00DE3AC8" w:rsidRDefault="009F55C2" w:rsidP="009F55C2">
      <w:pPr>
        <w:pStyle w:val="AJARCDE-Paragraph"/>
        <w:rPr>
          <w:bCs/>
        </w:rPr>
      </w:pPr>
      <w:r w:rsidRPr="00DE3AC8">
        <w:rPr>
          <w:bCs/>
        </w:rPr>
        <w:t>Farmer satisfaction or dissatisfaction is related to the difference between expectations and performance received or felt by farmers [19]. The level of farmer satisfaction is assessed by looking at members' activeness in marketing rubber products at UPPB Sumber Rezeki, Mendala Village, Peninjuan District, OKU Regency. Farmer satisfaction is determined by five main factors and must be considered by UPPB Sumer Rezeki, namely:</w:t>
      </w:r>
    </w:p>
    <w:p w14:paraId="388CFF8F" w14:textId="7BEA1317" w:rsidR="00477282" w:rsidRPr="003262DB" w:rsidRDefault="00477282" w:rsidP="009F55C2">
      <w:pPr>
        <w:pStyle w:val="Heading2"/>
      </w:pPr>
      <w:r w:rsidRPr="003262DB">
        <w:t>Research Objective</w:t>
      </w:r>
    </w:p>
    <w:p w14:paraId="1E901CBB" w14:textId="29953831" w:rsidR="004E7B7A" w:rsidRPr="00DC547B" w:rsidRDefault="005156D2" w:rsidP="004E7B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imes New Roman"/>
          <w:color w:val="202124"/>
          <w:sz w:val="32"/>
          <w:szCs w:val="32"/>
        </w:rPr>
      </w:pPr>
      <w:r w:rsidRPr="003262DB">
        <w:t xml:space="preserve">This study aims to </w:t>
      </w:r>
      <w:r w:rsidR="00FC4C0D">
        <w:t xml:space="preserve">analyze </w:t>
      </w:r>
      <w:r w:rsidR="007072CB">
        <w:t xml:space="preserve">the factors </w:t>
      </w:r>
      <w:r w:rsidR="006C2D45">
        <w:t>of rice production and t</w:t>
      </w:r>
      <w:r w:rsidR="00FC4C0D">
        <w:t>he</w:t>
      </w:r>
      <w:r w:rsidR="00214D89">
        <w:t xml:space="preserve"> </w:t>
      </w:r>
      <w:r w:rsidR="006C2D45">
        <w:rPr>
          <w:rFonts w:eastAsia="Times New Roman" w:cs="Times New Roman"/>
          <w:color w:val="202124"/>
          <w:szCs w:val="18"/>
          <w:lang w:val="en"/>
        </w:rPr>
        <w:t xml:space="preserve">relationship </w:t>
      </w:r>
      <w:r w:rsidR="004E7B7A" w:rsidRPr="004E7B7A">
        <w:rPr>
          <w:rFonts w:eastAsia="Times New Roman" w:cs="Times New Roman"/>
          <w:color w:val="202124"/>
          <w:szCs w:val="18"/>
          <w:lang w:val="en"/>
        </w:rPr>
        <w:t xml:space="preserve">of subsidized fertilizer in </w:t>
      </w:r>
      <w:r w:rsidR="004E7B7A">
        <w:rPr>
          <w:rFonts w:eastAsia="Times New Roman" w:cs="Times New Roman"/>
          <w:color w:val="202124"/>
          <w:szCs w:val="18"/>
          <w:lang w:val="en"/>
        </w:rPr>
        <w:t>M</w:t>
      </w:r>
      <w:r w:rsidR="004E7B7A" w:rsidRPr="004E7B7A">
        <w:rPr>
          <w:rFonts w:eastAsia="Times New Roman" w:cs="Times New Roman"/>
          <w:color w:val="202124"/>
          <w:szCs w:val="18"/>
          <w:lang w:val="en"/>
        </w:rPr>
        <w:t xml:space="preserve">adang </w:t>
      </w:r>
      <w:r w:rsidR="004E7B7A">
        <w:rPr>
          <w:rFonts w:eastAsia="Times New Roman" w:cs="Times New Roman"/>
          <w:color w:val="202124"/>
          <w:szCs w:val="18"/>
          <w:lang w:val="en"/>
        </w:rPr>
        <w:t>S</w:t>
      </w:r>
      <w:r w:rsidR="004E7B7A" w:rsidRPr="004E7B7A">
        <w:rPr>
          <w:rFonts w:eastAsia="Times New Roman" w:cs="Times New Roman"/>
          <w:color w:val="202124"/>
          <w:szCs w:val="18"/>
          <w:lang w:val="en"/>
        </w:rPr>
        <w:t xml:space="preserve">uku </w:t>
      </w:r>
      <w:r w:rsidR="004E7B7A">
        <w:rPr>
          <w:rFonts w:eastAsia="Times New Roman" w:cs="Times New Roman"/>
          <w:color w:val="202124"/>
          <w:szCs w:val="18"/>
          <w:lang w:val="en"/>
        </w:rPr>
        <w:t>I D</w:t>
      </w:r>
      <w:r w:rsidR="004E7B7A" w:rsidRPr="004E7B7A">
        <w:rPr>
          <w:rFonts w:eastAsia="Times New Roman" w:cs="Times New Roman"/>
          <w:color w:val="202124"/>
          <w:szCs w:val="18"/>
          <w:lang w:val="en"/>
        </w:rPr>
        <w:t xml:space="preserve">istrict </w:t>
      </w:r>
      <w:r w:rsidR="004E7B7A">
        <w:rPr>
          <w:rFonts w:eastAsia="Times New Roman" w:cs="Times New Roman"/>
          <w:color w:val="202124"/>
          <w:szCs w:val="18"/>
          <w:lang w:val="en"/>
        </w:rPr>
        <w:t>of E</w:t>
      </w:r>
      <w:r w:rsidR="004E7B7A" w:rsidRPr="004E7B7A">
        <w:rPr>
          <w:rFonts w:eastAsia="Times New Roman" w:cs="Times New Roman"/>
          <w:color w:val="202124"/>
          <w:szCs w:val="18"/>
          <w:lang w:val="en"/>
        </w:rPr>
        <w:t xml:space="preserve">ast </w:t>
      </w:r>
      <w:r w:rsidR="004E7B7A">
        <w:rPr>
          <w:rFonts w:eastAsia="Times New Roman" w:cs="Times New Roman"/>
          <w:color w:val="202124"/>
          <w:szCs w:val="18"/>
          <w:lang w:val="en"/>
        </w:rPr>
        <w:t>OKU</w:t>
      </w:r>
      <w:r w:rsidR="004E7B7A" w:rsidRPr="004E7B7A">
        <w:rPr>
          <w:rFonts w:eastAsia="Times New Roman" w:cs="Times New Roman"/>
          <w:color w:val="202124"/>
          <w:szCs w:val="18"/>
          <w:lang w:val="en"/>
        </w:rPr>
        <w:t xml:space="preserve"> </w:t>
      </w:r>
      <w:r w:rsidR="004E7B7A">
        <w:rPr>
          <w:rFonts w:eastAsia="Times New Roman" w:cs="Times New Roman"/>
          <w:color w:val="202124"/>
          <w:szCs w:val="18"/>
          <w:lang w:val="en"/>
        </w:rPr>
        <w:t>Regency.</w:t>
      </w:r>
    </w:p>
    <w:p w14:paraId="6BF935EC" w14:textId="2C413653" w:rsidR="00282CB7" w:rsidRDefault="00E00B9F" w:rsidP="004527D9">
      <w:pPr>
        <w:pStyle w:val="Heading1"/>
      </w:pPr>
      <w:r w:rsidRPr="003262DB">
        <w:lastRenderedPageBreak/>
        <w:t>M</w:t>
      </w:r>
      <w:r w:rsidRPr="003262DB">
        <w:rPr>
          <w:lang w:val="en-US"/>
        </w:rPr>
        <w:t xml:space="preserve">ATERIALS </w:t>
      </w:r>
      <w:r w:rsidRPr="003262DB">
        <w:t>AND METHODS</w:t>
      </w:r>
    </w:p>
    <w:p w14:paraId="230D8B38" w14:textId="6446083F" w:rsidR="00EC706F" w:rsidRPr="00EC706F" w:rsidRDefault="00EC706F" w:rsidP="00EC706F">
      <w:pPr>
        <w:pStyle w:val="HTMLPreformatted"/>
        <w:shd w:val="clear" w:color="auto" w:fill="F8F9FA"/>
        <w:spacing w:line="276" w:lineRule="auto"/>
        <w:jc w:val="both"/>
        <w:rPr>
          <w:rFonts w:ascii="Times New Roman" w:hAnsi="Times New Roman" w:cs="Times New Roman"/>
          <w:color w:val="202124"/>
          <w:sz w:val="18"/>
          <w:szCs w:val="18"/>
        </w:rPr>
      </w:pPr>
      <w:r w:rsidRPr="00EC706F">
        <w:rPr>
          <w:rStyle w:val="y2iqfc"/>
          <w:rFonts w:ascii="Times New Roman" w:hAnsi="Times New Roman" w:cs="Times New Roman"/>
          <w:color w:val="202124"/>
          <w:sz w:val="18"/>
          <w:szCs w:val="18"/>
          <w:lang w:val="en"/>
        </w:rPr>
        <w:t>The research was carried out in September 2023 in Madang Suku I District, East OKU Regency. Determining the research location was carried out purposively considering that Madang Suku I District, East OKU Regency</w:t>
      </w:r>
      <w:r w:rsidR="00214D89">
        <w:rPr>
          <w:rStyle w:val="y2iqfc"/>
          <w:rFonts w:ascii="Times New Roman" w:hAnsi="Times New Roman" w:cs="Times New Roman"/>
          <w:color w:val="202124"/>
          <w:sz w:val="18"/>
          <w:szCs w:val="18"/>
          <w:lang w:val="en"/>
        </w:rPr>
        <w:t>,</w:t>
      </w:r>
      <w:r w:rsidRPr="00EC706F">
        <w:rPr>
          <w:rStyle w:val="y2iqfc"/>
          <w:rFonts w:ascii="Times New Roman" w:hAnsi="Times New Roman" w:cs="Times New Roman"/>
          <w:color w:val="202124"/>
          <w:sz w:val="18"/>
          <w:szCs w:val="18"/>
          <w:lang w:val="en"/>
        </w:rPr>
        <w:t xml:space="preserve"> is a district that has an area of ​​rice fields and rice production and is related to fertilizer subsidies</w:t>
      </w:r>
      <w:r w:rsidR="00214D89">
        <w:rPr>
          <w:rStyle w:val="y2iqfc"/>
          <w:rFonts w:ascii="Times New Roman" w:hAnsi="Times New Roman" w:cs="Times New Roman"/>
          <w:color w:val="202124"/>
          <w:sz w:val="18"/>
          <w:szCs w:val="18"/>
          <w:lang w:val="en"/>
        </w:rPr>
        <w:t>; the</w:t>
      </w:r>
      <w:r w:rsidRPr="00EC706F">
        <w:rPr>
          <w:rStyle w:val="y2iqfc"/>
          <w:rFonts w:ascii="Times New Roman" w:hAnsi="Times New Roman" w:cs="Times New Roman"/>
          <w:color w:val="202124"/>
          <w:sz w:val="18"/>
          <w:szCs w:val="18"/>
          <w:lang w:val="en"/>
        </w:rPr>
        <w:t xml:space="preserve"> farmers involved are farmers who receive subsidized fertilizer. The method used in this research is the survey method.  The sampling method used was a simple random sampling method from 9,335 farmers who received subsidized fertilizer</w:t>
      </w:r>
      <w:r w:rsidR="00214D89">
        <w:rPr>
          <w:rStyle w:val="y2iqfc"/>
          <w:rFonts w:ascii="Times New Roman" w:hAnsi="Times New Roman" w:cs="Times New Roman"/>
          <w:color w:val="202124"/>
          <w:sz w:val="18"/>
          <w:szCs w:val="18"/>
          <w:lang w:val="en"/>
        </w:rPr>
        <w:t>; 95</w:t>
      </w:r>
      <w:r w:rsidRPr="00EC706F">
        <w:rPr>
          <w:rStyle w:val="y2iqfc"/>
          <w:rFonts w:ascii="Times New Roman" w:hAnsi="Times New Roman" w:cs="Times New Roman"/>
          <w:color w:val="202124"/>
          <w:sz w:val="18"/>
          <w:szCs w:val="18"/>
          <w:lang w:val="en"/>
        </w:rPr>
        <w:t xml:space="preserve"> people were taken as samples.  The data analysis method uses multiple linear regression to analyze the factors </w:t>
      </w:r>
      <w:r w:rsidR="00024C18">
        <w:rPr>
          <w:rStyle w:val="y2iqfc"/>
          <w:rFonts w:ascii="Times New Roman" w:hAnsi="Times New Roman" w:cs="Times New Roman"/>
          <w:color w:val="202124"/>
          <w:sz w:val="18"/>
          <w:szCs w:val="18"/>
          <w:lang w:val="en"/>
        </w:rPr>
        <w:t>influencing</w:t>
      </w:r>
      <w:r w:rsidRPr="00EC706F">
        <w:rPr>
          <w:rStyle w:val="y2iqfc"/>
          <w:rFonts w:ascii="Times New Roman" w:hAnsi="Times New Roman" w:cs="Times New Roman"/>
          <w:color w:val="202124"/>
          <w:sz w:val="18"/>
          <w:szCs w:val="18"/>
          <w:lang w:val="en"/>
        </w:rPr>
        <w:t xml:space="preserve"> rice production in Madang Tribe I, East OKU Regency.</w:t>
      </w:r>
    </w:p>
    <w:p w14:paraId="1ECA45F6" w14:textId="46635AE1" w:rsidR="00282CB7" w:rsidRPr="003262DB" w:rsidRDefault="00E00B9F" w:rsidP="002122FF">
      <w:pPr>
        <w:pStyle w:val="Heading1"/>
      </w:pPr>
      <w:r w:rsidRPr="003262DB">
        <w:rPr>
          <w:lang w:val="en-US"/>
        </w:rPr>
        <w:t>RESULT AND DISCUSSION</w:t>
      </w:r>
    </w:p>
    <w:p w14:paraId="0DFC5D59" w14:textId="1034AF7E" w:rsidR="00CF79E8" w:rsidRPr="003262DB" w:rsidRDefault="00D349FF" w:rsidP="00173350">
      <w:pPr>
        <w:pStyle w:val="Heading2"/>
      </w:pPr>
      <w:r>
        <w:t>Factors affecting rice production</w:t>
      </w:r>
    </w:p>
    <w:p w14:paraId="08725B3C" w14:textId="77777777" w:rsidR="00A26FF4" w:rsidRPr="00A26FF4" w:rsidRDefault="00A26FF4" w:rsidP="00A26FF4">
      <w:pPr>
        <w:pStyle w:val="HTMLPreformatted"/>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 xml:space="preserve">The factors thought to influence the increase in rice production in Madang Suku I District, East OKU Regency are land area (X1), labor (X2), seeds (X3), subsidized fertilizer (X4), and pesticides (X5). The results of data analysis carried out with SPSS software produced the following model: </w:t>
      </w:r>
    </w:p>
    <w:p w14:paraId="2622C3A5" w14:textId="77777777" w:rsidR="00A26FF4" w:rsidRPr="00A26FF4" w:rsidRDefault="00A26FF4" w:rsidP="00A26FF4">
      <w:pPr>
        <w:pStyle w:val="HTMLPreformatted"/>
        <w:shd w:val="clear" w:color="auto" w:fill="F8F9FA"/>
        <w:spacing w:line="276" w:lineRule="auto"/>
        <w:jc w:val="both"/>
        <w:rPr>
          <w:rStyle w:val="y2iqfc"/>
          <w:rFonts w:ascii="Times New Roman" w:hAnsi="Times New Roman" w:cs="Times New Roman"/>
          <w:color w:val="202124"/>
          <w:sz w:val="18"/>
          <w:szCs w:val="18"/>
          <w:lang w:val="en"/>
        </w:rPr>
      </w:pPr>
    </w:p>
    <w:p w14:paraId="1EB86949" w14:textId="77777777" w:rsidR="00A26FF4" w:rsidRDefault="00A26FF4" w:rsidP="00A26FF4">
      <w:pPr>
        <w:pStyle w:val="HTMLPreformatted"/>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Log Y = Log 7.198 + 0.642 LogX1 + 0.594 LogX2 + 0.325 LogX3 + 0.695 LogX4 + 0.636 LogX5</w:t>
      </w:r>
    </w:p>
    <w:p w14:paraId="36F637E6" w14:textId="77777777" w:rsidR="00A26FF4" w:rsidRPr="00A26FF4" w:rsidRDefault="00A26FF4" w:rsidP="00A26FF4">
      <w:pPr>
        <w:pStyle w:val="HTMLPreformatted"/>
        <w:shd w:val="clear" w:color="auto" w:fill="F8F9FA"/>
        <w:spacing w:line="276" w:lineRule="auto"/>
        <w:jc w:val="both"/>
        <w:rPr>
          <w:rStyle w:val="y2iqfc"/>
          <w:rFonts w:ascii="Times New Roman" w:hAnsi="Times New Roman" w:cs="Times New Roman"/>
          <w:color w:val="202124"/>
          <w:sz w:val="18"/>
          <w:szCs w:val="18"/>
          <w:lang w:val="en"/>
        </w:rPr>
      </w:pPr>
    </w:p>
    <w:p w14:paraId="23ABCEEB" w14:textId="77777777" w:rsidR="00A26FF4" w:rsidRPr="00A26FF4" w:rsidRDefault="00A26FF4" w:rsidP="00A26FF4">
      <w:pPr>
        <w:pStyle w:val="HTMLPreformatted"/>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The multiple linear regression equation can be interpreted as follows:</w:t>
      </w:r>
    </w:p>
    <w:p w14:paraId="112DC618" w14:textId="13CFEEC9" w:rsidR="00A26FF4" w:rsidRPr="00A26FF4" w:rsidRDefault="00A26FF4" w:rsidP="00214D89">
      <w:pPr>
        <w:pStyle w:val="HTMLPreformatted"/>
        <w:numPr>
          <w:ilvl w:val="0"/>
          <w:numId w:val="18"/>
        </w:numPr>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The constant value is 7.198. This shows that if the variables land area (X1), labor (X2), number of seeds (X3), subsidized fertilizer (X4), and pesticide (X5) are zero, then the rice production in Madang Suku I District, East OKU Regency is equal to 7,198 units.</w:t>
      </w:r>
    </w:p>
    <w:p w14:paraId="24154D74" w14:textId="784ABC60" w:rsidR="00A26FF4" w:rsidRPr="00A26FF4" w:rsidRDefault="00A26FF4" w:rsidP="00214D89">
      <w:pPr>
        <w:pStyle w:val="HTMLPreformatted"/>
        <w:numPr>
          <w:ilvl w:val="0"/>
          <w:numId w:val="18"/>
        </w:numPr>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The land area coefficient value is 0.642, meaning that if the land area used by farmers to carry out rice farming activities increases by 0.642%, then rice production in Madang Suku I District, East OKU Regency will increase by 0.642% with the assumption that other variables are considered zero or constant.</w:t>
      </w:r>
    </w:p>
    <w:p w14:paraId="60492099" w14:textId="66BF0FEF" w:rsidR="00A26FF4" w:rsidRPr="00A26FF4" w:rsidRDefault="00A26FF4" w:rsidP="00214D89">
      <w:pPr>
        <w:pStyle w:val="HTMLPreformatted"/>
        <w:numPr>
          <w:ilvl w:val="0"/>
          <w:numId w:val="18"/>
        </w:numPr>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The labor regression coefficient is 0.594, meaning that if the labor used by farmers to carry out rice farming activities increases by 0.594%, then rice production in Madang Suku I District, East OKU Regency will increase by 0.594% with the assumption that other variables are considered zero or constant.</w:t>
      </w:r>
    </w:p>
    <w:p w14:paraId="70747608" w14:textId="21F1BFBD" w:rsidR="00A26FF4" w:rsidRPr="00A26FF4" w:rsidRDefault="00A26FF4" w:rsidP="00214D89">
      <w:pPr>
        <w:pStyle w:val="HTMLPreformatted"/>
        <w:numPr>
          <w:ilvl w:val="0"/>
          <w:numId w:val="18"/>
        </w:numPr>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The regression coefficient for the number of seeds is 0.325, meaning that if the number of seeds used by farmers to carry out rice farming activities increases by 0.325%, then rice production in Madang Suku I District, East OKU Regency will increase by 0.325% with the assumption that other variables are considered zero or constant.</w:t>
      </w:r>
    </w:p>
    <w:p w14:paraId="3EE0F2B0" w14:textId="38E5132C" w:rsidR="00A26FF4" w:rsidRPr="00A26FF4" w:rsidRDefault="00214D89" w:rsidP="00214D89">
      <w:pPr>
        <w:pStyle w:val="HTMLPreformatted"/>
        <w:numPr>
          <w:ilvl w:val="0"/>
          <w:numId w:val="18"/>
        </w:numPr>
        <w:shd w:val="clear" w:color="auto" w:fill="F8F9FA"/>
        <w:spacing w:line="276" w:lineRule="auto"/>
        <w:jc w:val="both"/>
        <w:rPr>
          <w:rStyle w:val="y2iqfc"/>
          <w:rFonts w:ascii="Times New Roman" w:hAnsi="Times New Roman" w:cs="Times New Roman"/>
          <w:color w:val="202124"/>
          <w:sz w:val="18"/>
          <w:szCs w:val="18"/>
          <w:lang w:val="en"/>
        </w:rPr>
      </w:pPr>
      <w:r>
        <w:rPr>
          <w:rStyle w:val="y2iqfc"/>
          <w:rFonts w:ascii="Times New Roman" w:hAnsi="Times New Roman" w:cs="Times New Roman"/>
          <w:color w:val="202124"/>
          <w:sz w:val="18"/>
          <w:szCs w:val="18"/>
          <w:lang w:val="en"/>
        </w:rPr>
        <w:t>T</w:t>
      </w:r>
      <w:r w:rsidR="00A26FF4" w:rsidRPr="00A26FF4">
        <w:rPr>
          <w:rStyle w:val="y2iqfc"/>
          <w:rFonts w:ascii="Times New Roman" w:hAnsi="Times New Roman" w:cs="Times New Roman"/>
          <w:color w:val="202124"/>
          <w:sz w:val="18"/>
          <w:szCs w:val="18"/>
          <w:lang w:val="en"/>
        </w:rPr>
        <w:t>he regression coefficient for subsidized fertilizer is 0.695, meaning that if the subsidized fertilizer used by farmers to carry out rice farming activities increases by 0.0.695%, then rice production in Madang Suku I District, East OKU Regency will increase by 0.695% with the assumption that the other variables are considered zero or constant.</w:t>
      </w:r>
    </w:p>
    <w:p w14:paraId="56CB256D" w14:textId="5F062636" w:rsidR="00A26FF4" w:rsidRDefault="00A26FF4" w:rsidP="00214D89">
      <w:pPr>
        <w:pStyle w:val="HTMLPreformatted"/>
        <w:numPr>
          <w:ilvl w:val="0"/>
          <w:numId w:val="18"/>
        </w:numPr>
        <w:shd w:val="clear" w:color="auto" w:fill="F8F9FA"/>
        <w:spacing w:line="276" w:lineRule="auto"/>
        <w:jc w:val="both"/>
        <w:rPr>
          <w:rStyle w:val="y2iqfc"/>
          <w:rFonts w:ascii="Times New Roman" w:hAnsi="Times New Roman" w:cs="Times New Roman"/>
          <w:color w:val="202124"/>
          <w:sz w:val="18"/>
          <w:szCs w:val="18"/>
          <w:lang w:val="en"/>
        </w:rPr>
      </w:pPr>
      <w:r w:rsidRPr="00A26FF4">
        <w:rPr>
          <w:rStyle w:val="y2iqfc"/>
          <w:rFonts w:ascii="Times New Roman" w:hAnsi="Times New Roman" w:cs="Times New Roman"/>
          <w:color w:val="202124"/>
          <w:sz w:val="18"/>
          <w:szCs w:val="18"/>
          <w:lang w:val="en"/>
        </w:rPr>
        <w:t xml:space="preserve">The pesticide regression coefficient is 0.636, meaning that if the pesticides used by farmers to carry out rice farming </w:t>
      </w:r>
      <w:r w:rsidRPr="00A26FF4">
        <w:rPr>
          <w:rStyle w:val="y2iqfc"/>
          <w:rFonts w:ascii="Times New Roman" w:hAnsi="Times New Roman" w:cs="Times New Roman"/>
          <w:color w:val="202124"/>
          <w:sz w:val="18"/>
          <w:szCs w:val="18"/>
          <w:lang w:val="en"/>
        </w:rPr>
        <w:t>activities increase by 0.636%, then rice production in Madang Suku I District, East OKU Regency will increase by 0.636% with the assumption that other variables are considered zero or constant.</w:t>
      </w:r>
    </w:p>
    <w:p w14:paraId="772175EF" w14:textId="082E36AB" w:rsidR="008C3F0D" w:rsidRPr="002430FA" w:rsidRDefault="008C3F0D" w:rsidP="002430FA">
      <w:pPr>
        <w:pStyle w:val="HTMLPreformatted"/>
        <w:shd w:val="clear" w:color="auto" w:fill="F8F9FA"/>
        <w:spacing w:line="276" w:lineRule="auto"/>
        <w:jc w:val="both"/>
        <w:rPr>
          <w:rStyle w:val="y2iqfc"/>
          <w:rFonts w:ascii="Times New Roman" w:hAnsi="Times New Roman" w:cs="Times New Roman"/>
          <w:color w:val="202124"/>
          <w:sz w:val="18"/>
          <w:szCs w:val="18"/>
          <w:lang w:val="en"/>
        </w:rPr>
      </w:pPr>
      <w:r w:rsidRPr="002430FA">
        <w:rPr>
          <w:rStyle w:val="y2iqfc"/>
          <w:rFonts w:ascii="Times New Roman" w:hAnsi="Times New Roman" w:cs="Times New Roman"/>
          <w:color w:val="202124"/>
          <w:sz w:val="18"/>
          <w:szCs w:val="18"/>
          <w:lang w:val="en"/>
        </w:rPr>
        <w:t>The Adjusted R Square value was obtained at 0.873. The Adj R2 value means that 87.3% of rice production in Madang Suku I District, East OKU Regency</w:t>
      </w:r>
      <w:r w:rsidR="00214D89">
        <w:rPr>
          <w:rStyle w:val="y2iqfc"/>
          <w:rFonts w:ascii="Times New Roman" w:hAnsi="Times New Roman" w:cs="Times New Roman"/>
          <w:color w:val="202124"/>
          <w:sz w:val="18"/>
          <w:szCs w:val="18"/>
          <w:lang w:val="en"/>
        </w:rPr>
        <w:t>,</w:t>
      </w:r>
      <w:r w:rsidRPr="002430FA">
        <w:rPr>
          <w:rStyle w:val="y2iqfc"/>
          <w:rFonts w:ascii="Times New Roman" w:hAnsi="Times New Roman" w:cs="Times New Roman"/>
          <w:color w:val="202124"/>
          <w:sz w:val="18"/>
          <w:szCs w:val="18"/>
          <w:lang w:val="en"/>
        </w:rPr>
        <w:t xml:space="preserve"> can be explained by the independent variables explained in the model, such as land area (X1), labor (X2), number of seeds (X3), subsidized fertilizer (X4), and pesticides (X5). Meanwhile, the remaining 13.7% is explained by other variables outside the research, such as weather, climate, farming experience, farmer age, technology and others </w:t>
      </w:r>
      <w:r w:rsidR="005C7C63">
        <w:rPr>
          <w:rStyle w:val="y2iqfc"/>
          <w:rFonts w:ascii="Times New Roman" w:hAnsi="Times New Roman" w:cs="Times New Roman"/>
          <w:color w:val="202124"/>
          <w:sz w:val="18"/>
          <w:szCs w:val="18"/>
          <w:lang w:val="en"/>
        </w:rPr>
        <w:t>[14]</w:t>
      </w:r>
    </w:p>
    <w:p w14:paraId="59B6540C" w14:textId="6FF3FD22" w:rsidR="008C3F0D" w:rsidRPr="002430FA" w:rsidRDefault="008C3F0D" w:rsidP="00214D89">
      <w:pPr>
        <w:pStyle w:val="AJARCDE-Paragraph"/>
        <w:rPr>
          <w:rStyle w:val="y2iqfc"/>
          <w:rFonts w:cs="Times New Roman"/>
          <w:color w:val="202124"/>
          <w:szCs w:val="18"/>
          <w:lang w:val="en"/>
        </w:rPr>
      </w:pPr>
      <w:r w:rsidRPr="002430FA">
        <w:rPr>
          <w:rStyle w:val="y2iqfc"/>
          <w:rFonts w:cs="Times New Roman"/>
          <w:color w:val="202124"/>
          <w:szCs w:val="18"/>
          <w:lang w:val="en"/>
        </w:rPr>
        <w:t xml:space="preserve">The results of the F test show that the results of simultaneous testing of all estimated parameters at a confidence level of 95% show that the F table value &gt; calculated F (34,767 &gt; 2,330). It can be said that the independent variables which include land area (X1), labor (X2), number of seeds (X3), subsidized fertilizer (X4), and pesticides (X5) together have a significant effect on rice production in the </w:t>
      </w:r>
      <w:proofErr w:type="gramStart"/>
      <w:r w:rsidRPr="002430FA">
        <w:rPr>
          <w:rStyle w:val="y2iqfc"/>
          <w:rFonts w:cs="Times New Roman"/>
          <w:color w:val="202124"/>
          <w:szCs w:val="18"/>
          <w:lang w:val="en"/>
        </w:rPr>
        <w:t>District</w:t>
      </w:r>
      <w:proofErr w:type="gramEnd"/>
      <w:r w:rsidRPr="002430FA">
        <w:rPr>
          <w:rStyle w:val="y2iqfc"/>
          <w:rFonts w:cs="Times New Roman"/>
          <w:color w:val="202124"/>
          <w:szCs w:val="18"/>
          <w:lang w:val="en"/>
        </w:rPr>
        <w:t xml:space="preserve">. Madang Tribe I East OKU Regency. </w:t>
      </w:r>
    </w:p>
    <w:p w14:paraId="42C344DF" w14:textId="0BCD7FC1" w:rsidR="008C3F0D" w:rsidRPr="002430FA" w:rsidRDefault="008C3F0D" w:rsidP="005D2DF7">
      <w:pPr>
        <w:pStyle w:val="AJARCDE-Paragraph"/>
        <w:rPr>
          <w:rStyle w:val="y2iqfc"/>
          <w:rFonts w:cs="Times New Roman"/>
          <w:color w:val="202124"/>
          <w:szCs w:val="18"/>
          <w:lang w:val="en"/>
        </w:rPr>
      </w:pPr>
      <w:r w:rsidRPr="002430FA">
        <w:rPr>
          <w:rStyle w:val="y2iqfc"/>
          <w:rFonts w:cs="Times New Roman"/>
          <w:color w:val="202124"/>
          <w:szCs w:val="18"/>
          <w:lang w:val="en"/>
        </w:rPr>
        <w:t xml:space="preserve">The results of the </w:t>
      </w:r>
      <w:r w:rsidR="005D2DF7">
        <w:rPr>
          <w:rStyle w:val="y2iqfc"/>
          <w:rFonts w:cs="Times New Roman"/>
          <w:color w:val="202124"/>
          <w:szCs w:val="18"/>
          <w:lang w:val="en"/>
        </w:rPr>
        <w:t>t-test</w:t>
      </w:r>
      <w:r w:rsidRPr="002430FA">
        <w:rPr>
          <w:rStyle w:val="y2iqfc"/>
          <w:rFonts w:cs="Times New Roman"/>
          <w:color w:val="202124"/>
          <w:szCs w:val="18"/>
          <w:lang w:val="en"/>
        </w:rPr>
        <w:t xml:space="preserve"> show that the variables of land area (X1), labor (X2), number of seeds (X3) and subsidized fertilizer (X4) individually have a significant effect on rice production in Madang Suku I District, East OKU Regency. Meanwhile, the pesticide variable has no real effect on rice production in Madang Suku I District, East OKU Regency. </w:t>
      </w:r>
    </w:p>
    <w:p w14:paraId="58360A28" w14:textId="222D95CD" w:rsidR="008C3F0D" w:rsidRPr="002430FA" w:rsidRDefault="00024C18" w:rsidP="005D2DF7">
      <w:pPr>
        <w:pStyle w:val="AJARCDE-Paragraph"/>
        <w:rPr>
          <w:rStyle w:val="y2iqfc"/>
          <w:rFonts w:cs="Times New Roman"/>
          <w:color w:val="202124"/>
          <w:szCs w:val="18"/>
          <w:lang w:val="en"/>
        </w:rPr>
      </w:pPr>
      <w:r>
        <w:rPr>
          <w:rStyle w:val="y2iqfc"/>
          <w:rFonts w:cs="Times New Roman"/>
          <w:color w:val="202124"/>
          <w:szCs w:val="18"/>
          <w:lang w:val="en"/>
        </w:rPr>
        <w:t xml:space="preserve">The land area has a calculated t value &gt; t table, </w:t>
      </w:r>
      <w:r w:rsidR="008C3F0D" w:rsidRPr="002430FA">
        <w:rPr>
          <w:rStyle w:val="y2iqfc"/>
          <w:rFonts w:cs="Times New Roman"/>
          <w:color w:val="202124"/>
          <w:szCs w:val="18"/>
          <w:lang w:val="en"/>
        </w:rPr>
        <w:t xml:space="preserve">3.057 &gt; 1.991, which means </w:t>
      </w:r>
      <w:r w:rsidR="005D2DF7">
        <w:rPr>
          <w:rStyle w:val="y2iqfc"/>
          <w:rFonts w:cs="Times New Roman"/>
          <w:color w:val="202124"/>
          <w:szCs w:val="18"/>
          <w:lang w:val="en"/>
        </w:rPr>
        <w:t xml:space="preserve">the </w:t>
      </w:r>
      <w:r w:rsidR="008C3F0D" w:rsidRPr="002430FA">
        <w:rPr>
          <w:rStyle w:val="y2iqfc"/>
          <w:rFonts w:cs="Times New Roman"/>
          <w:color w:val="202124"/>
          <w:szCs w:val="18"/>
          <w:lang w:val="en"/>
        </w:rPr>
        <w:t>land area has a real effect on rice production in Madang Suku I District, East OKU Regency at a 95% confidence level.  The land area coefficient value is 0.642, meaning that if the land area used by farmers to carry out rice farming activities increases by 0.642%, then rice production in Madang Suku I District, East OKU Regency</w:t>
      </w:r>
      <w:r w:rsidR="005D2DF7">
        <w:rPr>
          <w:rStyle w:val="y2iqfc"/>
          <w:rFonts w:cs="Times New Roman"/>
          <w:color w:val="202124"/>
          <w:szCs w:val="18"/>
          <w:lang w:val="en"/>
        </w:rPr>
        <w:t>,</w:t>
      </w:r>
      <w:r w:rsidR="008C3F0D" w:rsidRPr="002430FA">
        <w:rPr>
          <w:rStyle w:val="y2iqfc"/>
          <w:rFonts w:cs="Times New Roman"/>
          <w:color w:val="202124"/>
          <w:szCs w:val="18"/>
          <w:lang w:val="en"/>
        </w:rPr>
        <w:t xml:space="preserve"> will increase by 0.642% with the assumption that other variables are considered zero or constant. These results </w:t>
      </w:r>
      <w:r w:rsidR="005D2DF7">
        <w:rPr>
          <w:rStyle w:val="y2iqfc"/>
          <w:rFonts w:cs="Times New Roman"/>
          <w:color w:val="202124"/>
          <w:szCs w:val="18"/>
          <w:lang w:val="en"/>
        </w:rPr>
        <w:t>align</w:t>
      </w:r>
      <w:r w:rsidR="008C3F0D" w:rsidRPr="002430FA">
        <w:rPr>
          <w:rStyle w:val="y2iqfc"/>
          <w:rFonts w:cs="Times New Roman"/>
          <w:color w:val="202124"/>
          <w:szCs w:val="18"/>
          <w:lang w:val="en"/>
        </w:rPr>
        <w:t xml:space="preserve"> with research by </w:t>
      </w:r>
      <w:r w:rsidR="00454BF1">
        <w:rPr>
          <w:rStyle w:val="y2iqfc"/>
          <w:rFonts w:cs="Times New Roman"/>
          <w:color w:val="202124"/>
          <w:szCs w:val="18"/>
          <w:lang w:val="en"/>
        </w:rPr>
        <w:t>[14]</w:t>
      </w:r>
      <w:r w:rsidR="008C3F0D" w:rsidRPr="002430FA">
        <w:rPr>
          <w:rStyle w:val="y2iqfc"/>
          <w:rFonts w:cs="Times New Roman"/>
          <w:color w:val="202124"/>
          <w:szCs w:val="18"/>
          <w:lang w:val="en"/>
        </w:rPr>
        <w:t xml:space="preserve"> and </w:t>
      </w:r>
      <w:r w:rsidR="00454BF1">
        <w:rPr>
          <w:rStyle w:val="y2iqfc"/>
          <w:rFonts w:cs="Times New Roman"/>
          <w:color w:val="202124"/>
          <w:szCs w:val="18"/>
          <w:lang w:val="en"/>
        </w:rPr>
        <w:t>[15]</w:t>
      </w:r>
      <w:r w:rsidR="005D2DF7">
        <w:rPr>
          <w:rStyle w:val="y2iqfc"/>
          <w:rFonts w:cs="Times New Roman"/>
          <w:color w:val="202124"/>
          <w:szCs w:val="18"/>
          <w:lang w:val="en"/>
        </w:rPr>
        <w:t>,</w:t>
      </w:r>
      <w:r w:rsidR="008C3F0D" w:rsidRPr="002430FA">
        <w:rPr>
          <w:rStyle w:val="y2iqfc"/>
          <w:rFonts w:cs="Times New Roman"/>
          <w:color w:val="202124"/>
          <w:szCs w:val="18"/>
          <w:lang w:val="en"/>
        </w:rPr>
        <w:t xml:space="preserve"> which states that land area factors </w:t>
      </w:r>
      <w:r>
        <w:rPr>
          <w:rStyle w:val="y2iqfc"/>
          <w:rFonts w:cs="Times New Roman"/>
          <w:color w:val="202124"/>
          <w:szCs w:val="18"/>
          <w:lang w:val="en"/>
        </w:rPr>
        <w:t>directly influence</w:t>
      </w:r>
      <w:r w:rsidR="008C3F0D" w:rsidRPr="002430FA">
        <w:rPr>
          <w:rStyle w:val="y2iqfc"/>
          <w:rFonts w:cs="Times New Roman"/>
          <w:color w:val="202124"/>
          <w:szCs w:val="18"/>
          <w:lang w:val="en"/>
        </w:rPr>
        <w:t xml:space="preserve"> rice production. </w:t>
      </w:r>
    </w:p>
    <w:p w14:paraId="2C3096FF" w14:textId="139DBC45" w:rsidR="008C3F0D" w:rsidRPr="002430FA" w:rsidRDefault="008C3F0D" w:rsidP="005D2DF7">
      <w:pPr>
        <w:pStyle w:val="AJARCDE-Paragraph"/>
      </w:pPr>
      <w:r w:rsidRPr="002430FA">
        <w:rPr>
          <w:rStyle w:val="y2iqfc"/>
          <w:rFonts w:cs="Times New Roman"/>
          <w:color w:val="202124"/>
          <w:szCs w:val="18"/>
          <w:lang w:val="en"/>
        </w:rPr>
        <w:t>Labor has a value of t calculated &lt; t table, namely 4,816 &lt; 1.991, which means that labor has a real influence on rice production in Madang Suku I District, East OKU Regency at a 95% confidence level. The labor regression coefficient is 0.594, meaning that if the labor used by farmers to carry out rice farming activities increases by 0.594%, then rice production in Madang Suku I District, East OKU Regency</w:t>
      </w:r>
      <w:r w:rsidR="00024C18">
        <w:rPr>
          <w:rStyle w:val="y2iqfc"/>
          <w:rFonts w:cs="Times New Roman"/>
          <w:color w:val="202124"/>
          <w:szCs w:val="18"/>
          <w:lang w:val="en"/>
        </w:rPr>
        <w:t>,</w:t>
      </w:r>
      <w:r w:rsidRPr="002430FA">
        <w:rPr>
          <w:rStyle w:val="y2iqfc"/>
          <w:rFonts w:cs="Times New Roman"/>
          <w:color w:val="202124"/>
          <w:szCs w:val="18"/>
          <w:lang w:val="en"/>
        </w:rPr>
        <w:t xml:space="preserve"> will increase by 0.594% with the assumption that other variables are considered zero or constant.</w:t>
      </w:r>
    </w:p>
    <w:p w14:paraId="19E2E99B" w14:textId="49D88B60" w:rsidR="002430FA" w:rsidRPr="002430FA" w:rsidRDefault="002430FA" w:rsidP="005D2DF7">
      <w:pPr>
        <w:pStyle w:val="AJARCDE-Paragraph"/>
        <w:rPr>
          <w:rStyle w:val="y2iqfc"/>
          <w:rFonts w:cs="Times New Roman"/>
          <w:color w:val="202124"/>
          <w:szCs w:val="18"/>
          <w:lang w:val="en"/>
        </w:rPr>
      </w:pPr>
      <w:r w:rsidRPr="002430FA">
        <w:rPr>
          <w:rStyle w:val="y2iqfc"/>
          <w:rFonts w:cs="Times New Roman"/>
          <w:color w:val="202124"/>
          <w:szCs w:val="18"/>
          <w:lang w:val="en"/>
        </w:rPr>
        <w:t xml:space="preserve">The labor variable </w:t>
      </w:r>
      <w:r w:rsidR="005D2DF7">
        <w:rPr>
          <w:rStyle w:val="y2iqfc"/>
          <w:rFonts w:cs="Times New Roman"/>
          <w:color w:val="202124"/>
          <w:szCs w:val="18"/>
          <w:lang w:val="en"/>
        </w:rPr>
        <w:t xml:space="preserve">significantly affects </w:t>
      </w:r>
      <w:r w:rsidR="00024C18">
        <w:rPr>
          <w:rStyle w:val="y2iqfc"/>
          <w:rFonts w:cs="Times New Roman"/>
          <w:color w:val="202124"/>
          <w:szCs w:val="18"/>
          <w:lang w:val="en"/>
        </w:rPr>
        <w:t>Madang Suku I District, East OKU Regency rice production</w:t>
      </w:r>
      <w:r w:rsidR="005D2DF7">
        <w:rPr>
          <w:rStyle w:val="y2iqfc"/>
          <w:rFonts w:cs="Times New Roman"/>
          <w:color w:val="202124"/>
          <w:szCs w:val="18"/>
          <w:lang w:val="en"/>
        </w:rPr>
        <w:t xml:space="preserve">. These results </w:t>
      </w:r>
      <w:r w:rsidR="00024C18">
        <w:rPr>
          <w:rStyle w:val="y2iqfc"/>
          <w:rFonts w:cs="Times New Roman"/>
          <w:color w:val="202124"/>
          <w:szCs w:val="18"/>
          <w:lang w:val="en"/>
        </w:rPr>
        <w:t>align</w:t>
      </w:r>
      <w:r w:rsidR="005D2DF7">
        <w:rPr>
          <w:rStyle w:val="y2iqfc"/>
          <w:rFonts w:cs="Times New Roman"/>
          <w:color w:val="202124"/>
          <w:szCs w:val="18"/>
          <w:lang w:val="en"/>
        </w:rPr>
        <w:t xml:space="preserve"> with research by [16], </w:t>
      </w:r>
      <w:r w:rsidRPr="002430FA">
        <w:rPr>
          <w:rStyle w:val="y2iqfc"/>
          <w:rFonts w:cs="Times New Roman"/>
          <w:color w:val="202124"/>
          <w:szCs w:val="18"/>
          <w:lang w:val="en"/>
        </w:rPr>
        <w:t>which states that labor influences rice production. When the workforce decreases, rice production will decrease in Madang Suku I District, East OKU Regency. This is because the number of workers in producing rice plants in Madang Suku I District, East OKU Regency</w:t>
      </w:r>
      <w:r w:rsidR="00024C18">
        <w:rPr>
          <w:rStyle w:val="y2iqfc"/>
          <w:rFonts w:cs="Times New Roman"/>
          <w:color w:val="202124"/>
          <w:szCs w:val="18"/>
          <w:lang w:val="en"/>
        </w:rPr>
        <w:t>,</w:t>
      </w:r>
      <w:r w:rsidRPr="002430FA">
        <w:rPr>
          <w:rStyle w:val="y2iqfc"/>
          <w:rFonts w:cs="Times New Roman"/>
          <w:color w:val="202124"/>
          <w:szCs w:val="18"/>
          <w:lang w:val="en"/>
        </w:rPr>
        <w:t xml:space="preserve"> is much needed due to the high productivity of rice in Madang Suku I District, East OKU Regency.</w:t>
      </w:r>
    </w:p>
    <w:p w14:paraId="3128952F" w14:textId="33F059F1" w:rsidR="002430FA" w:rsidRDefault="002430FA" w:rsidP="00B93AD6">
      <w:pPr>
        <w:pStyle w:val="AJARCDE-Paragraph"/>
        <w:rPr>
          <w:rStyle w:val="y2iqfc"/>
          <w:rFonts w:cs="Times New Roman"/>
          <w:color w:val="202124"/>
          <w:szCs w:val="18"/>
          <w:lang w:val="en"/>
        </w:rPr>
      </w:pPr>
      <w:r w:rsidRPr="002430FA">
        <w:rPr>
          <w:rStyle w:val="y2iqfc"/>
          <w:rFonts w:cs="Times New Roman"/>
          <w:color w:val="202124"/>
          <w:szCs w:val="18"/>
          <w:lang w:val="en"/>
        </w:rPr>
        <w:t>This is proven by the theory of the law of diminishing returns, which means that if we add one factor of production, in this case</w:t>
      </w:r>
      <w:r w:rsidR="00024C18">
        <w:rPr>
          <w:rStyle w:val="y2iqfc"/>
          <w:rFonts w:cs="Times New Roman"/>
          <w:color w:val="202124"/>
          <w:szCs w:val="18"/>
          <w:lang w:val="en"/>
        </w:rPr>
        <w:t>,</w:t>
      </w:r>
      <w:r w:rsidRPr="002430FA">
        <w:rPr>
          <w:rStyle w:val="y2iqfc"/>
          <w:rFonts w:cs="Times New Roman"/>
          <w:color w:val="202124"/>
          <w:szCs w:val="18"/>
          <w:lang w:val="en"/>
        </w:rPr>
        <w:t xml:space="preserve"> </w:t>
      </w:r>
      <w:proofErr w:type="spellStart"/>
      <w:r w:rsidR="00B93AD6">
        <w:rPr>
          <w:rStyle w:val="y2iqfc"/>
          <w:rFonts w:cs="Times New Roman"/>
          <w:color w:val="202124"/>
          <w:szCs w:val="18"/>
          <w:lang w:val="en"/>
        </w:rPr>
        <w:t>labour</w:t>
      </w:r>
      <w:proofErr w:type="spellEnd"/>
      <w:r w:rsidRPr="002430FA">
        <w:rPr>
          <w:rStyle w:val="y2iqfc"/>
          <w:rFonts w:cs="Times New Roman"/>
          <w:color w:val="202124"/>
          <w:szCs w:val="18"/>
          <w:lang w:val="en"/>
        </w:rPr>
        <w:t xml:space="preserve">, while the land area is considered constant, then productivity will decrease. This theory comes from David Ricardo's theory. </w:t>
      </w:r>
      <w:r w:rsidR="00024C18">
        <w:rPr>
          <w:rStyle w:val="y2iqfc"/>
          <w:rFonts w:cs="Times New Roman"/>
          <w:color w:val="202124"/>
          <w:szCs w:val="18"/>
          <w:lang w:val="en"/>
        </w:rPr>
        <w:t xml:space="preserve">According to Ref. [17], research shows that </w:t>
      </w:r>
      <w:proofErr w:type="spellStart"/>
      <w:r w:rsidR="00B93AD6">
        <w:rPr>
          <w:rStyle w:val="y2iqfc"/>
          <w:rFonts w:cs="Times New Roman"/>
          <w:color w:val="202124"/>
          <w:szCs w:val="18"/>
          <w:lang w:val="en"/>
        </w:rPr>
        <w:t>labour</w:t>
      </w:r>
      <w:proofErr w:type="spellEnd"/>
      <w:r w:rsidR="00024C18">
        <w:rPr>
          <w:rStyle w:val="y2iqfc"/>
          <w:rFonts w:cs="Times New Roman"/>
          <w:color w:val="202124"/>
          <w:szCs w:val="18"/>
          <w:lang w:val="en"/>
        </w:rPr>
        <w:t xml:space="preserve"> significantly affects</w:t>
      </w:r>
      <w:r w:rsidRPr="002430FA">
        <w:rPr>
          <w:rStyle w:val="y2iqfc"/>
          <w:rFonts w:cs="Times New Roman"/>
          <w:color w:val="202124"/>
          <w:szCs w:val="18"/>
          <w:lang w:val="en"/>
        </w:rPr>
        <w:t xml:space="preserve"> rice production. These results </w:t>
      </w:r>
      <w:r w:rsidR="005D2DF7">
        <w:rPr>
          <w:rStyle w:val="y2iqfc"/>
          <w:rFonts w:cs="Times New Roman"/>
          <w:color w:val="202124"/>
          <w:szCs w:val="18"/>
          <w:lang w:val="en"/>
        </w:rPr>
        <w:t>align</w:t>
      </w:r>
      <w:r w:rsidRPr="002430FA">
        <w:rPr>
          <w:rStyle w:val="y2iqfc"/>
          <w:rFonts w:cs="Times New Roman"/>
          <w:color w:val="202124"/>
          <w:szCs w:val="18"/>
          <w:lang w:val="en"/>
        </w:rPr>
        <w:t xml:space="preserve"> with the findings of </w:t>
      </w:r>
      <w:r w:rsidR="005C7C63">
        <w:rPr>
          <w:rStyle w:val="y2iqfc"/>
          <w:rFonts w:cs="Times New Roman"/>
          <w:color w:val="202124"/>
          <w:szCs w:val="18"/>
          <w:lang w:val="en"/>
        </w:rPr>
        <w:t xml:space="preserve">[18] </w:t>
      </w:r>
      <w:r w:rsidRPr="002430FA">
        <w:rPr>
          <w:rStyle w:val="y2iqfc"/>
          <w:rFonts w:cs="Times New Roman"/>
          <w:color w:val="202124"/>
          <w:szCs w:val="18"/>
          <w:lang w:val="en"/>
        </w:rPr>
        <w:t xml:space="preserve">and </w:t>
      </w:r>
      <w:r w:rsidR="005C7C63">
        <w:rPr>
          <w:rStyle w:val="y2iqfc"/>
          <w:rFonts w:cs="Times New Roman"/>
          <w:color w:val="202124"/>
          <w:szCs w:val="18"/>
          <w:lang w:val="en"/>
        </w:rPr>
        <w:t>[19]</w:t>
      </w:r>
      <w:r w:rsidR="00024C18">
        <w:rPr>
          <w:rStyle w:val="y2iqfc"/>
          <w:rFonts w:cs="Times New Roman"/>
          <w:color w:val="202124"/>
          <w:szCs w:val="18"/>
          <w:lang w:val="en"/>
        </w:rPr>
        <w:t>,</w:t>
      </w:r>
      <w:r w:rsidRPr="002430FA">
        <w:rPr>
          <w:rStyle w:val="y2iqfc"/>
          <w:rFonts w:cs="Times New Roman"/>
          <w:color w:val="202124"/>
          <w:szCs w:val="18"/>
          <w:lang w:val="en"/>
        </w:rPr>
        <w:t xml:space="preserve"> which stated that </w:t>
      </w:r>
      <w:proofErr w:type="spellStart"/>
      <w:r w:rsidR="00B93AD6">
        <w:rPr>
          <w:rStyle w:val="y2iqfc"/>
          <w:rFonts w:cs="Times New Roman"/>
          <w:color w:val="202124"/>
          <w:szCs w:val="18"/>
          <w:lang w:val="en"/>
        </w:rPr>
        <w:t>labour</w:t>
      </w:r>
      <w:proofErr w:type="spellEnd"/>
      <w:r w:rsidRPr="002430FA">
        <w:rPr>
          <w:rStyle w:val="y2iqfc"/>
          <w:rFonts w:cs="Times New Roman"/>
          <w:color w:val="202124"/>
          <w:szCs w:val="18"/>
          <w:lang w:val="en"/>
        </w:rPr>
        <w:t xml:space="preserve"> factors </w:t>
      </w:r>
      <w:r w:rsidR="00024C18">
        <w:rPr>
          <w:rStyle w:val="y2iqfc"/>
          <w:rFonts w:cs="Times New Roman"/>
          <w:color w:val="202124"/>
          <w:szCs w:val="18"/>
          <w:lang w:val="en"/>
        </w:rPr>
        <w:t xml:space="preserve">directly </w:t>
      </w:r>
      <w:r w:rsidR="00024C18" w:rsidRPr="00B93AD6">
        <w:rPr>
          <w:rStyle w:val="y2iqfc"/>
        </w:rPr>
        <w:t>influence</w:t>
      </w:r>
      <w:r w:rsidRPr="002430FA">
        <w:rPr>
          <w:rStyle w:val="y2iqfc"/>
          <w:rFonts w:cs="Times New Roman"/>
          <w:color w:val="202124"/>
          <w:szCs w:val="18"/>
          <w:lang w:val="en"/>
        </w:rPr>
        <w:t xml:space="preserve"> rice production.</w:t>
      </w:r>
    </w:p>
    <w:p w14:paraId="15EAB86D" w14:textId="28C50DE7" w:rsidR="00413AF5" w:rsidRPr="003262DB" w:rsidRDefault="00E00B9F" w:rsidP="00413AF5">
      <w:pPr>
        <w:pStyle w:val="Heading1"/>
      </w:pPr>
      <w:r w:rsidRPr="003262DB">
        <w:rPr>
          <w:lang w:val="en-US"/>
        </w:rPr>
        <w:lastRenderedPageBreak/>
        <w:t>CONCLUSION</w:t>
      </w:r>
    </w:p>
    <w:p w14:paraId="42942A6F" w14:textId="4FEBDF5B" w:rsidR="00657896" w:rsidRPr="00657896" w:rsidRDefault="005D2DF7" w:rsidP="00657896">
      <w:pPr>
        <w:pStyle w:val="HTMLPreformatted"/>
        <w:shd w:val="clear" w:color="auto" w:fill="F8F9FA"/>
        <w:spacing w:line="276" w:lineRule="auto"/>
        <w:jc w:val="both"/>
        <w:rPr>
          <w:rFonts w:ascii="Times New Roman" w:hAnsi="Times New Roman" w:cs="Times New Roman"/>
          <w:color w:val="202124"/>
          <w:sz w:val="18"/>
          <w:szCs w:val="18"/>
        </w:rPr>
      </w:pPr>
      <w:r>
        <w:rPr>
          <w:rStyle w:val="y2iqfc"/>
          <w:rFonts w:ascii="Times New Roman" w:hAnsi="Times New Roman" w:cs="Times New Roman"/>
          <w:color w:val="202124"/>
          <w:sz w:val="18"/>
          <w:szCs w:val="18"/>
          <w:lang w:val="en"/>
        </w:rPr>
        <w:t xml:space="preserve">Land area, </w:t>
      </w:r>
      <w:proofErr w:type="spellStart"/>
      <w:r w:rsidR="00B93AD6">
        <w:rPr>
          <w:rStyle w:val="y2iqfc"/>
          <w:rFonts w:ascii="Times New Roman" w:hAnsi="Times New Roman" w:cs="Times New Roman"/>
          <w:color w:val="202124"/>
          <w:sz w:val="18"/>
          <w:szCs w:val="18"/>
          <w:lang w:val="en"/>
        </w:rPr>
        <w:t>labour</w:t>
      </w:r>
      <w:proofErr w:type="spellEnd"/>
      <w:r>
        <w:rPr>
          <w:rStyle w:val="y2iqfc"/>
          <w:rFonts w:ascii="Times New Roman" w:hAnsi="Times New Roman" w:cs="Times New Roman"/>
          <w:color w:val="202124"/>
          <w:sz w:val="18"/>
          <w:szCs w:val="18"/>
          <w:lang w:val="en"/>
        </w:rPr>
        <w:t>, number of seeds, subsidized fertilizer, and pesticides influence rice production in Madang Suku I District, East OKU Regency. The factor that has the most influence is land area,</w:t>
      </w:r>
      <w:r w:rsidR="0034241E" w:rsidRPr="00657896">
        <w:rPr>
          <w:rStyle w:val="y2iqfc"/>
          <w:rFonts w:ascii="Times New Roman" w:hAnsi="Times New Roman" w:cs="Times New Roman"/>
          <w:color w:val="202124"/>
          <w:sz w:val="18"/>
          <w:szCs w:val="18"/>
          <w:lang w:val="en"/>
        </w:rPr>
        <w:t xml:space="preserve"> with a standard value of the partial regression coefficient (beta coefficient) of 0.567.</w:t>
      </w:r>
      <w:r w:rsidR="00657896" w:rsidRPr="00657896">
        <w:rPr>
          <w:rStyle w:val="y2iqfc"/>
          <w:rFonts w:ascii="Times New Roman" w:hAnsi="Times New Roman" w:cs="Times New Roman"/>
          <w:color w:val="202124"/>
          <w:sz w:val="18"/>
          <w:szCs w:val="18"/>
          <w:lang w:val="en"/>
        </w:rPr>
        <w:t xml:space="preserve"> </w:t>
      </w:r>
      <w:r>
        <w:rPr>
          <w:rStyle w:val="y2iqfc"/>
          <w:rFonts w:ascii="Times New Roman" w:hAnsi="Times New Roman" w:cs="Times New Roman"/>
          <w:color w:val="202124"/>
          <w:sz w:val="18"/>
          <w:szCs w:val="18"/>
          <w:lang w:val="en"/>
        </w:rPr>
        <w:t xml:space="preserve"> </w:t>
      </w:r>
      <w:r w:rsidR="00657896" w:rsidRPr="00657896">
        <w:rPr>
          <w:rStyle w:val="y2iqfc"/>
          <w:rFonts w:ascii="Times New Roman" w:hAnsi="Times New Roman" w:cs="Times New Roman"/>
          <w:color w:val="202124"/>
          <w:sz w:val="18"/>
          <w:szCs w:val="18"/>
          <w:lang w:val="en"/>
        </w:rPr>
        <w:t xml:space="preserve">The subsidized fertilizer policy, namely urea fertilizer (X1) and NPK fertilizer (X2), individually and simultaneously contributes to increasing rice production in Madang Suku I District, East OKU Regency. This is evident from the increase in rice production in East OKU which reached 689,678 tons of milled dry grain (GKG) or 811,385 tons of GKP from a planting area of ​​108,141 hectares (Ha). This production has increased by 20 </w:t>
      </w:r>
      <w:r w:rsidR="00687377">
        <w:rPr>
          <w:rStyle w:val="y2iqfc"/>
          <w:rFonts w:ascii="Times New Roman" w:hAnsi="Times New Roman" w:cs="Times New Roman"/>
          <w:color w:val="202124"/>
          <w:sz w:val="18"/>
          <w:szCs w:val="18"/>
          <w:lang w:val="en"/>
        </w:rPr>
        <w:t>per cent</w:t>
      </w:r>
      <w:r w:rsidR="00657896" w:rsidRPr="00657896">
        <w:rPr>
          <w:rStyle w:val="y2iqfc"/>
          <w:rFonts w:ascii="Times New Roman" w:hAnsi="Times New Roman" w:cs="Times New Roman"/>
          <w:color w:val="202124"/>
          <w:sz w:val="18"/>
          <w:szCs w:val="18"/>
          <w:lang w:val="en"/>
        </w:rPr>
        <w:t xml:space="preserve"> compared to 2021</w:t>
      </w:r>
      <w:r w:rsidR="00024C18">
        <w:rPr>
          <w:rStyle w:val="y2iqfc"/>
          <w:rFonts w:ascii="Times New Roman" w:hAnsi="Times New Roman" w:cs="Times New Roman"/>
          <w:color w:val="202124"/>
          <w:sz w:val="18"/>
          <w:szCs w:val="18"/>
          <w:lang w:val="en"/>
        </w:rPr>
        <w:t>,</w:t>
      </w:r>
      <w:r w:rsidR="00657896" w:rsidRPr="00657896">
        <w:rPr>
          <w:rStyle w:val="y2iqfc"/>
          <w:rFonts w:ascii="Times New Roman" w:hAnsi="Times New Roman" w:cs="Times New Roman"/>
          <w:color w:val="202124"/>
          <w:sz w:val="18"/>
          <w:szCs w:val="18"/>
          <w:lang w:val="en"/>
        </w:rPr>
        <w:t xml:space="preserve"> and at the beginning of 2023, rice production in Ogan </w:t>
      </w:r>
      <w:proofErr w:type="spellStart"/>
      <w:r w:rsidR="00657896" w:rsidRPr="00657896">
        <w:rPr>
          <w:rStyle w:val="y2iqfc"/>
          <w:rFonts w:ascii="Times New Roman" w:hAnsi="Times New Roman" w:cs="Times New Roman"/>
          <w:color w:val="202124"/>
          <w:sz w:val="18"/>
          <w:szCs w:val="18"/>
          <w:lang w:val="en"/>
        </w:rPr>
        <w:t>Komering</w:t>
      </w:r>
      <w:proofErr w:type="spellEnd"/>
      <w:r w:rsidR="00657896" w:rsidRPr="00657896">
        <w:rPr>
          <w:rStyle w:val="y2iqfc"/>
          <w:rFonts w:ascii="Times New Roman" w:hAnsi="Times New Roman" w:cs="Times New Roman"/>
          <w:color w:val="202124"/>
          <w:sz w:val="18"/>
          <w:szCs w:val="18"/>
          <w:lang w:val="en"/>
        </w:rPr>
        <w:t xml:space="preserve"> Ulu </w:t>
      </w:r>
      <w:proofErr w:type="spellStart"/>
      <w:r w:rsidR="00657896" w:rsidRPr="00657896">
        <w:rPr>
          <w:rStyle w:val="y2iqfc"/>
          <w:rFonts w:ascii="Times New Roman" w:hAnsi="Times New Roman" w:cs="Times New Roman"/>
          <w:color w:val="202124"/>
          <w:sz w:val="18"/>
          <w:szCs w:val="18"/>
          <w:lang w:val="en"/>
        </w:rPr>
        <w:t>Timu</w:t>
      </w:r>
      <w:proofErr w:type="spellEnd"/>
      <w:r w:rsidR="00657896" w:rsidRPr="00657896">
        <w:rPr>
          <w:rStyle w:val="y2iqfc"/>
          <w:rFonts w:ascii="Times New Roman" w:hAnsi="Times New Roman" w:cs="Times New Roman"/>
          <w:color w:val="202124"/>
          <w:sz w:val="18"/>
          <w:szCs w:val="18"/>
          <w:lang w:val="en"/>
        </w:rPr>
        <w:t xml:space="preserve"> Regency was included in one of the districts with the highest rice production in South Sumatra province.</w:t>
      </w:r>
    </w:p>
    <w:p w14:paraId="5C99D00E" w14:textId="77777777" w:rsidR="00581990" w:rsidRDefault="00581990" w:rsidP="00581990">
      <w:pPr>
        <w:pStyle w:val="BodyChar"/>
        <w:rPr>
          <w:color w:val="auto"/>
        </w:rPr>
      </w:pPr>
    </w:p>
    <w:p w14:paraId="0305641D" w14:textId="0B943092" w:rsidR="006D5E8B" w:rsidRDefault="00E00B9F" w:rsidP="0068183D">
      <w:pPr>
        <w:widowControl w:val="0"/>
        <w:autoSpaceDE w:val="0"/>
        <w:autoSpaceDN w:val="0"/>
        <w:adjustRightInd w:val="0"/>
        <w:spacing w:line="240" w:lineRule="auto"/>
        <w:ind w:left="480" w:hanging="480"/>
        <w:rPr>
          <w:b/>
        </w:rPr>
      </w:pPr>
      <w:r w:rsidRPr="00286A84">
        <w:rPr>
          <w:b/>
        </w:rPr>
        <w:t>REFERENCE</w:t>
      </w:r>
      <w:r w:rsidR="00687377">
        <w:rPr>
          <w:b/>
        </w:rPr>
        <w:br/>
      </w:r>
    </w:p>
    <w:p w14:paraId="451D8B57" w14:textId="5E1ADEFF" w:rsidR="0068183D" w:rsidRDefault="0068183D" w:rsidP="00687377">
      <w:pPr>
        <w:pStyle w:val="AJARCDE-Reference"/>
        <w:rPr>
          <w:noProof/>
        </w:rPr>
      </w:pPr>
      <w:r w:rsidRPr="0068183D">
        <w:fldChar w:fldCharType="begin" w:fldLock="1"/>
      </w:r>
      <w:r w:rsidRPr="0068183D">
        <w:instrText xml:space="preserve">ADDIN Mendeley Bibliography CSL_BIBLIOGRAPHY </w:instrText>
      </w:r>
      <w:r w:rsidRPr="0068183D">
        <w:fldChar w:fldCharType="separate"/>
      </w:r>
      <w:r w:rsidRPr="0068183D">
        <w:rPr>
          <w:noProof/>
        </w:rPr>
        <w:t xml:space="preserve">Ayun, Q., Kurniawan, S., &amp; Saputro, W. A.  Perkembangan Konversi Lahan Pertanian Di Bagian Negara Agraris. </w:t>
      </w:r>
      <w:r w:rsidRPr="0068183D">
        <w:rPr>
          <w:i/>
          <w:iCs/>
          <w:noProof/>
        </w:rPr>
        <w:t>Vigor: Jurnal Ilmu Pertanian Tropika Dan Subtropika</w:t>
      </w:r>
      <w:r w:rsidRPr="0068183D">
        <w:rPr>
          <w:noProof/>
        </w:rPr>
        <w:t xml:space="preserve">, </w:t>
      </w:r>
      <w:r w:rsidRPr="0068183D">
        <w:rPr>
          <w:i/>
          <w:iCs/>
          <w:noProof/>
        </w:rPr>
        <w:t>5</w:t>
      </w:r>
      <w:r w:rsidRPr="0068183D">
        <w:rPr>
          <w:noProof/>
        </w:rPr>
        <w:t>(2), 38–44. https://doi.org/10.31002/vigor.v5i2.3040</w:t>
      </w:r>
      <w:r w:rsidR="006D5E8B">
        <w:rPr>
          <w:noProof/>
        </w:rPr>
        <w:t>. 2020.</w:t>
      </w:r>
    </w:p>
    <w:p w14:paraId="19776106" w14:textId="696B2AB1" w:rsidR="0068183D" w:rsidRDefault="0068183D" w:rsidP="00687377">
      <w:pPr>
        <w:pStyle w:val="AJARCDE-Reference"/>
        <w:rPr>
          <w:noProof/>
        </w:rPr>
      </w:pPr>
      <w:r w:rsidRPr="0068183D">
        <w:rPr>
          <w:noProof/>
        </w:rPr>
        <w:t xml:space="preserve">Istina, I. N. Peningkatan Produksi Bawang </w:t>
      </w:r>
      <w:r w:rsidR="006D5E8B">
        <w:rPr>
          <w:noProof/>
        </w:rPr>
        <w:t>.</w:t>
      </w:r>
      <w:r w:rsidRPr="0068183D">
        <w:rPr>
          <w:noProof/>
        </w:rPr>
        <w:t xml:space="preserve">Merah Melalui Teknik Pemupukan NPK. </w:t>
      </w:r>
      <w:r w:rsidRPr="0068183D">
        <w:rPr>
          <w:i/>
          <w:iCs/>
          <w:noProof/>
        </w:rPr>
        <w:t>Jurnal Agro</w:t>
      </w:r>
      <w:r w:rsidRPr="0068183D">
        <w:rPr>
          <w:noProof/>
        </w:rPr>
        <w:t xml:space="preserve">, </w:t>
      </w:r>
      <w:r w:rsidRPr="0068183D">
        <w:rPr>
          <w:i/>
          <w:iCs/>
          <w:noProof/>
        </w:rPr>
        <w:t>3</w:t>
      </w:r>
      <w:r w:rsidRPr="0068183D">
        <w:rPr>
          <w:noProof/>
        </w:rPr>
        <w:t>(1), 36–42. https://doi.org/10.15575/810</w:t>
      </w:r>
      <w:r w:rsidR="006D5E8B">
        <w:rPr>
          <w:noProof/>
        </w:rPr>
        <w:t xml:space="preserve">. 2018. </w:t>
      </w:r>
    </w:p>
    <w:p w14:paraId="2749BADD" w14:textId="77777777" w:rsidR="002C3463" w:rsidRDefault="002C3463" w:rsidP="002C3463">
      <w:pPr>
        <w:pStyle w:val="AJARCDE-Reference"/>
        <w:numPr>
          <w:ilvl w:val="0"/>
          <w:numId w:val="0"/>
        </w:numPr>
        <w:ind w:left="567" w:hanging="567"/>
        <w:rPr>
          <w:noProof/>
        </w:rPr>
      </w:pPr>
    </w:p>
    <w:p w14:paraId="57D5C14F" w14:textId="77777777" w:rsidR="002C3463" w:rsidRDefault="002C3463" w:rsidP="002C3463">
      <w:pPr>
        <w:pStyle w:val="AJARCDE-Reference"/>
        <w:numPr>
          <w:ilvl w:val="0"/>
          <w:numId w:val="0"/>
        </w:numPr>
        <w:ind w:left="567" w:hanging="567"/>
        <w:rPr>
          <w:noProof/>
        </w:rPr>
      </w:pPr>
    </w:p>
    <w:p w14:paraId="63EC88E5" w14:textId="77777777" w:rsidR="002C3463" w:rsidRDefault="002C3463" w:rsidP="002C3463">
      <w:pPr>
        <w:pStyle w:val="AJARCDE-Reference"/>
        <w:numPr>
          <w:ilvl w:val="0"/>
          <w:numId w:val="0"/>
        </w:numPr>
        <w:ind w:left="567" w:hanging="567"/>
        <w:rPr>
          <w:noProof/>
        </w:rPr>
      </w:pPr>
    </w:p>
    <w:p w14:paraId="0D26983D" w14:textId="77777777" w:rsidR="002C3463" w:rsidRDefault="002C3463" w:rsidP="002C3463">
      <w:pPr>
        <w:pStyle w:val="AJARCDE-Reference"/>
        <w:numPr>
          <w:ilvl w:val="0"/>
          <w:numId w:val="0"/>
        </w:numPr>
        <w:ind w:left="567" w:hanging="567"/>
        <w:rPr>
          <w:noProof/>
        </w:rPr>
      </w:pPr>
    </w:p>
    <w:p w14:paraId="6B7ABB41" w14:textId="77777777" w:rsidR="002C3463" w:rsidRDefault="002C3463" w:rsidP="002C3463">
      <w:pPr>
        <w:pStyle w:val="AJARCDE-Reference"/>
        <w:numPr>
          <w:ilvl w:val="0"/>
          <w:numId w:val="0"/>
        </w:numPr>
        <w:ind w:left="567" w:hanging="567"/>
        <w:rPr>
          <w:noProof/>
        </w:rPr>
      </w:pPr>
    </w:p>
    <w:p w14:paraId="523FB544" w14:textId="77777777" w:rsidR="002C3463" w:rsidRDefault="002C3463" w:rsidP="002C3463">
      <w:pPr>
        <w:pStyle w:val="AJARCDE-Reference"/>
        <w:numPr>
          <w:ilvl w:val="0"/>
          <w:numId w:val="0"/>
        </w:numPr>
        <w:ind w:left="567" w:hanging="567"/>
        <w:rPr>
          <w:noProof/>
        </w:rPr>
      </w:pPr>
    </w:p>
    <w:p w14:paraId="08E6DF8A" w14:textId="77777777" w:rsidR="002C3463" w:rsidRDefault="002C3463" w:rsidP="002C3463">
      <w:pPr>
        <w:pStyle w:val="AJARCDE-Reference"/>
        <w:numPr>
          <w:ilvl w:val="0"/>
          <w:numId w:val="0"/>
        </w:numPr>
        <w:ind w:left="567" w:hanging="567"/>
        <w:rPr>
          <w:noProof/>
        </w:rPr>
      </w:pPr>
    </w:p>
    <w:p w14:paraId="3A05D831" w14:textId="77777777" w:rsidR="002C3463" w:rsidRDefault="002C3463" w:rsidP="002C3463">
      <w:pPr>
        <w:pStyle w:val="AJARCDE-Reference"/>
        <w:numPr>
          <w:ilvl w:val="0"/>
          <w:numId w:val="0"/>
        </w:numPr>
        <w:ind w:left="567" w:hanging="567"/>
        <w:rPr>
          <w:noProof/>
        </w:rPr>
      </w:pPr>
    </w:p>
    <w:p w14:paraId="76BBD6AA" w14:textId="77777777" w:rsidR="002C3463" w:rsidRDefault="002C3463" w:rsidP="002C3463">
      <w:pPr>
        <w:pStyle w:val="AJARCDE-Reference"/>
        <w:numPr>
          <w:ilvl w:val="0"/>
          <w:numId w:val="0"/>
        </w:numPr>
        <w:ind w:left="567" w:hanging="567"/>
        <w:rPr>
          <w:noProof/>
        </w:rPr>
      </w:pPr>
    </w:p>
    <w:p w14:paraId="3A95986A" w14:textId="77777777" w:rsidR="002C3463" w:rsidRDefault="002C3463" w:rsidP="002C3463">
      <w:pPr>
        <w:pStyle w:val="AJARCDE-Reference"/>
        <w:numPr>
          <w:ilvl w:val="0"/>
          <w:numId w:val="0"/>
        </w:numPr>
        <w:ind w:left="567" w:hanging="567"/>
        <w:rPr>
          <w:noProof/>
        </w:rPr>
      </w:pPr>
    </w:p>
    <w:p w14:paraId="0EF9C4B5" w14:textId="77777777" w:rsidR="002C3463" w:rsidRDefault="002C3463" w:rsidP="002C3463">
      <w:pPr>
        <w:pStyle w:val="AJARCDE-Reference"/>
        <w:numPr>
          <w:ilvl w:val="0"/>
          <w:numId w:val="0"/>
        </w:numPr>
        <w:ind w:left="567" w:hanging="567"/>
        <w:rPr>
          <w:noProof/>
        </w:rPr>
      </w:pPr>
    </w:p>
    <w:p w14:paraId="4896B29C" w14:textId="77777777" w:rsidR="002C3463" w:rsidRDefault="002C3463" w:rsidP="002C3463">
      <w:pPr>
        <w:pStyle w:val="AJARCDE-Reference"/>
        <w:numPr>
          <w:ilvl w:val="0"/>
          <w:numId w:val="0"/>
        </w:numPr>
        <w:ind w:left="567" w:hanging="567"/>
        <w:rPr>
          <w:noProof/>
        </w:rPr>
      </w:pPr>
    </w:p>
    <w:p w14:paraId="66959C44" w14:textId="77777777" w:rsidR="002C3463" w:rsidRDefault="002C3463" w:rsidP="002C3463">
      <w:pPr>
        <w:pStyle w:val="AJARCDE-Reference"/>
        <w:numPr>
          <w:ilvl w:val="0"/>
          <w:numId w:val="0"/>
        </w:numPr>
        <w:ind w:left="567" w:hanging="567"/>
        <w:rPr>
          <w:noProof/>
        </w:rPr>
      </w:pPr>
    </w:p>
    <w:p w14:paraId="468DAB65" w14:textId="77777777" w:rsidR="002C3463" w:rsidRDefault="002C3463" w:rsidP="002C3463">
      <w:pPr>
        <w:pStyle w:val="AJARCDE-Reference"/>
        <w:numPr>
          <w:ilvl w:val="0"/>
          <w:numId w:val="0"/>
        </w:numPr>
        <w:ind w:left="567" w:hanging="567"/>
        <w:rPr>
          <w:noProof/>
        </w:rPr>
      </w:pPr>
    </w:p>
    <w:p w14:paraId="2C33ED55" w14:textId="77777777" w:rsidR="002C3463" w:rsidRDefault="002C3463" w:rsidP="002C3463">
      <w:pPr>
        <w:pStyle w:val="AJARCDE-Reference"/>
        <w:numPr>
          <w:ilvl w:val="0"/>
          <w:numId w:val="0"/>
        </w:numPr>
        <w:ind w:left="567" w:hanging="567"/>
        <w:rPr>
          <w:noProof/>
        </w:rPr>
      </w:pPr>
    </w:p>
    <w:p w14:paraId="19A1C39E" w14:textId="77777777" w:rsidR="002C3463" w:rsidRDefault="002C3463" w:rsidP="002C3463">
      <w:pPr>
        <w:pStyle w:val="AJARCDE-Reference"/>
        <w:numPr>
          <w:ilvl w:val="0"/>
          <w:numId w:val="0"/>
        </w:numPr>
        <w:ind w:left="567" w:hanging="567"/>
        <w:rPr>
          <w:noProof/>
        </w:rPr>
      </w:pPr>
    </w:p>
    <w:p w14:paraId="6B2D950C" w14:textId="77777777" w:rsidR="002C3463" w:rsidRDefault="002C3463" w:rsidP="002C3463">
      <w:pPr>
        <w:pStyle w:val="AJARCDE-Reference"/>
        <w:numPr>
          <w:ilvl w:val="0"/>
          <w:numId w:val="0"/>
        </w:numPr>
        <w:ind w:left="567" w:hanging="567"/>
        <w:rPr>
          <w:noProof/>
        </w:rPr>
      </w:pPr>
    </w:p>
    <w:p w14:paraId="1A398333" w14:textId="77777777" w:rsidR="002C3463" w:rsidRDefault="002C3463" w:rsidP="002C3463">
      <w:pPr>
        <w:pStyle w:val="AJARCDE-Reference"/>
        <w:numPr>
          <w:ilvl w:val="0"/>
          <w:numId w:val="0"/>
        </w:numPr>
        <w:ind w:left="567" w:hanging="567"/>
        <w:rPr>
          <w:noProof/>
        </w:rPr>
      </w:pPr>
    </w:p>
    <w:p w14:paraId="43DDC2D1" w14:textId="77777777" w:rsidR="002C3463" w:rsidRDefault="002C3463" w:rsidP="002C3463">
      <w:pPr>
        <w:pStyle w:val="AJARCDE-Reference"/>
        <w:numPr>
          <w:ilvl w:val="0"/>
          <w:numId w:val="0"/>
        </w:numPr>
        <w:ind w:left="567" w:hanging="567"/>
        <w:rPr>
          <w:noProof/>
        </w:rPr>
      </w:pPr>
    </w:p>
    <w:p w14:paraId="45851DAE" w14:textId="77777777" w:rsidR="002C3463" w:rsidRDefault="002C3463" w:rsidP="002C3463">
      <w:pPr>
        <w:pStyle w:val="AJARCDE-Reference"/>
        <w:numPr>
          <w:ilvl w:val="0"/>
          <w:numId w:val="0"/>
        </w:numPr>
        <w:ind w:left="567" w:hanging="567"/>
        <w:rPr>
          <w:noProof/>
        </w:rPr>
      </w:pPr>
    </w:p>
    <w:p w14:paraId="3EC93CD5" w14:textId="77777777" w:rsidR="002C3463" w:rsidRDefault="002C3463" w:rsidP="002C3463">
      <w:pPr>
        <w:pStyle w:val="AJARCDE-Reference"/>
        <w:numPr>
          <w:ilvl w:val="0"/>
          <w:numId w:val="0"/>
        </w:numPr>
        <w:ind w:left="567" w:hanging="567"/>
        <w:rPr>
          <w:noProof/>
        </w:rPr>
      </w:pPr>
    </w:p>
    <w:p w14:paraId="43022A93" w14:textId="77777777" w:rsidR="002C3463" w:rsidRDefault="002C3463" w:rsidP="002C3463">
      <w:pPr>
        <w:pStyle w:val="AJARCDE-Reference"/>
        <w:numPr>
          <w:ilvl w:val="0"/>
          <w:numId w:val="0"/>
        </w:numPr>
        <w:ind w:left="567" w:hanging="567"/>
        <w:rPr>
          <w:noProof/>
        </w:rPr>
      </w:pPr>
    </w:p>
    <w:p w14:paraId="2E0E0805" w14:textId="77777777" w:rsidR="002C3463" w:rsidRDefault="002C3463" w:rsidP="002C3463">
      <w:pPr>
        <w:pStyle w:val="AJARCDE-Reference"/>
        <w:numPr>
          <w:ilvl w:val="0"/>
          <w:numId w:val="0"/>
        </w:numPr>
        <w:ind w:left="567" w:hanging="567"/>
        <w:rPr>
          <w:noProof/>
        </w:rPr>
      </w:pPr>
    </w:p>
    <w:p w14:paraId="6C99EB2A" w14:textId="77777777" w:rsidR="002C3463" w:rsidRDefault="002C3463" w:rsidP="002C3463">
      <w:pPr>
        <w:pStyle w:val="AJARCDE-Reference"/>
        <w:numPr>
          <w:ilvl w:val="0"/>
          <w:numId w:val="0"/>
        </w:numPr>
        <w:ind w:left="567" w:hanging="567"/>
        <w:rPr>
          <w:noProof/>
        </w:rPr>
      </w:pPr>
    </w:p>
    <w:p w14:paraId="073CE96A" w14:textId="77777777" w:rsidR="002C3463" w:rsidRDefault="002C3463" w:rsidP="002C3463">
      <w:pPr>
        <w:pStyle w:val="AJARCDE-Reference"/>
        <w:numPr>
          <w:ilvl w:val="0"/>
          <w:numId w:val="0"/>
        </w:numPr>
        <w:ind w:left="567" w:hanging="567"/>
        <w:rPr>
          <w:noProof/>
        </w:rPr>
      </w:pPr>
    </w:p>
    <w:p w14:paraId="32D22CF7" w14:textId="77777777" w:rsidR="002C3463" w:rsidRDefault="002C3463" w:rsidP="002C3463">
      <w:pPr>
        <w:pStyle w:val="AJARCDE-Reference"/>
        <w:numPr>
          <w:ilvl w:val="0"/>
          <w:numId w:val="0"/>
        </w:numPr>
        <w:ind w:left="567" w:hanging="567"/>
        <w:rPr>
          <w:noProof/>
        </w:rPr>
      </w:pPr>
    </w:p>
    <w:p w14:paraId="4999DBAF" w14:textId="77777777" w:rsidR="002C3463" w:rsidRDefault="002C3463" w:rsidP="002C3463">
      <w:pPr>
        <w:pStyle w:val="AJARCDE-Reference"/>
        <w:numPr>
          <w:ilvl w:val="0"/>
          <w:numId w:val="0"/>
        </w:numPr>
        <w:ind w:left="567" w:hanging="567"/>
        <w:rPr>
          <w:noProof/>
        </w:rPr>
      </w:pPr>
    </w:p>
    <w:p w14:paraId="0A99AE50" w14:textId="77777777" w:rsidR="002C3463" w:rsidRDefault="002C3463" w:rsidP="002C3463">
      <w:pPr>
        <w:pStyle w:val="AJARCDE-Reference"/>
        <w:numPr>
          <w:ilvl w:val="0"/>
          <w:numId w:val="0"/>
        </w:numPr>
        <w:ind w:left="567" w:hanging="567"/>
        <w:rPr>
          <w:noProof/>
        </w:rPr>
      </w:pPr>
    </w:p>
    <w:p w14:paraId="37E5E778" w14:textId="77777777" w:rsidR="002C3463" w:rsidRDefault="002C3463" w:rsidP="002C3463">
      <w:pPr>
        <w:pStyle w:val="AJARCDE-Reference"/>
        <w:numPr>
          <w:ilvl w:val="0"/>
          <w:numId w:val="0"/>
        </w:numPr>
        <w:ind w:left="567" w:hanging="567"/>
        <w:rPr>
          <w:noProof/>
        </w:rPr>
      </w:pPr>
    </w:p>
    <w:p w14:paraId="7F66E63A" w14:textId="77777777" w:rsidR="002C3463" w:rsidRDefault="002C3463" w:rsidP="002C3463">
      <w:pPr>
        <w:pStyle w:val="AJARCDE-Reference"/>
        <w:numPr>
          <w:ilvl w:val="0"/>
          <w:numId w:val="0"/>
        </w:numPr>
        <w:ind w:left="567" w:hanging="567"/>
        <w:rPr>
          <w:noProof/>
        </w:rPr>
      </w:pPr>
    </w:p>
    <w:p w14:paraId="449D892E" w14:textId="77777777" w:rsidR="002C3463" w:rsidRDefault="002C3463" w:rsidP="002C3463">
      <w:pPr>
        <w:pStyle w:val="AJARCDE-Reference"/>
        <w:numPr>
          <w:ilvl w:val="0"/>
          <w:numId w:val="0"/>
        </w:numPr>
        <w:ind w:left="567" w:hanging="567"/>
        <w:rPr>
          <w:noProof/>
        </w:rPr>
      </w:pPr>
    </w:p>
    <w:p w14:paraId="41E7C5F5" w14:textId="77777777" w:rsidR="002C3463" w:rsidRDefault="002C3463" w:rsidP="002C3463">
      <w:pPr>
        <w:pStyle w:val="AJARCDE-Reference"/>
        <w:numPr>
          <w:ilvl w:val="0"/>
          <w:numId w:val="0"/>
        </w:numPr>
        <w:ind w:left="567" w:hanging="567"/>
        <w:rPr>
          <w:noProof/>
        </w:rPr>
      </w:pPr>
    </w:p>
    <w:p w14:paraId="2FB0F95B" w14:textId="77777777" w:rsidR="002C3463" w:rsidRDefault="002C3463" w:rsidP="002C3463">
      <w:pPr>
        <w:pStyle w:val="AJARCDE-Reference"/>
        <w:numPr>
          <w:ilvl w:val="0"/>
          <w:numId w:val="0"/>
        </w:numPr>
        <w:ind w:left="567" w:hanging="567"/>
        <w:rPr>
          <w:noProof/>
        </w:rPr>
      </w:pPr>
    </w:p>
    <w:p w14:paraId="406F73B7" w14:textId="77777777" w:rsidR="002C3463" w:rsidRDefault="002C3463" w:rsidP="002C3463">
      <w:pPr>
        <w:pStyle w:val="AJARCDE-Reference"/>
        <w:numPr>
          <w:ilvl w:val="0"/>
          <w:numId w:val="0"/>
        </w:numPr>
        <w:ind w:left="567" w:hanging="567"/>
        <w:rPr>
          <w:noProof/>
        </w:rPr>
      </w:pPr>
    </w:p>
    <w:p w14:paraId="1C8A36DD" w14:textId="77777777" w:rsidR="002C3463" w:rsidRDefault="002C3463" w:rsidP="002C3463">
      <w:pPr>
        <w:pStyle w:val="AJARCDE-Reference"/>
        <w:numPr>
          <w:ilvl w:val="0"/>
          <w:numId w:val="0"/>
        </w:numPr>
        <w:ind w:left="567" w:hanging="567"/>
        <w:rPr>
          <w:noProof/>
        </w:rPr>
      </w:pPr>
    </w:p>
    <w:p w14:paraId="07733845" w14:textId="77777777" w:rsidR="002C3463" w:rsidRDefault="002C3463" w:rsidP="002C3463">
      <w:pPr>
        <w:pStyle w:val="AJARCDE-Reference"/>
        <w:numPr>
          <w:ilvl w:val="0"/>
          <w:numId w:val="0"/>
        </w:numPr>
        <w:ind w:left="567" w:hanging="567"/>
        <w:rPr>
          <w:noProof/>
        </w:rPr>
      </w:pPr>
    </w:p>
    <w:p w14:paraId="101BBC8D" w14:textId="77777777" w:rsidR="002C3463" w:rsidRDefault="002C3463" w:rsidP="002C3463">
      <w:pPr>
        <w:pStyle w:val="AJARCDE-Reference"/>
        <w:numPr>
          <w:ilvl w:val="0"/>
          <w:numId w:val="0"/>
        </w:numPr>
        <w:ind w:left="567" w:hanging="567"/>
        <w:rPr>
          <w:noProof/>
        </w:rPr>
      </w:pPr>
    </w:p>
    <w:p w14:paraId="5F5F85FE" w14:textId="77777777" w:rsidR="002C3463" w:rsidRDefault="002C3463" w:rsidP="002C3463">
      <w:pPr>
        <w:pStyle w:val="AJARCDE-Reference"/>
        <w:numPr>
          <w:ilvl w:val="0"/>
          <w:numId w:val="0"/>
        </w:numPr>
        <w:ind w:left="567" w:hanging="567"/>
        <w:rPr>
          <w:noProof/>
        </w:rPr>
      </w:pPr>
    </w:p>
    <w:p w14:paraId="76132675" w14:textId="2A13F84F" w:rsidR="0068183D" w:rsidRPr="0068183D" w:rsidRDefault="0068183D" w:rsidP="00687377">
      <w:pPr>
        <w:pStyle w:val="AJARCDE-Reference"/>
        <w:rPr>
          <w:noProof/>
        </w:rPr>
      </w:pPr>
      <w:r w:rsidRPr="0068183D">
        <w:rPr>
          <w:noProof/>
        </w:rPr>
        <w:t xml:space="preserve">Kholis, I., &amp; Setiaji, K. Analysis of the Effectiveness of Fertilizer Subsidy Policy for Rice Farmers. </w:t>
      </w:r>
      <w:r w:rsidRPr="0068183D">
        <w:rPr>
          <w:i/>
          <w:iCs/>
          <w:noProof/>
        </w:rPr>
        <w:t>Economic Education Analysis Journal</w:t>
      </w:r>
      <w:r w:rsidRPr="0068183D">
        <w:rPr>
          <w:noProof/>
        </w:rPr>
        <w:t xml:space="preserve">, </w:t>
      </w:r>
      <w:r w:rsidRPr="0068183D">
        <w:rPr>
          <w:i/>
          <w:iCs/>
          <w:noProof/>
        </w:rPr>
        <w:t>9</w:t>
      </w:r>
      <w:r w:rsidRPr="0068183D">
        <w:rPr>
          <w:noProof/>
        </w:rPr>
        <w:t>(2), 503–515. https://doi.org/10.15294/eeaj.v9i2.39543</w:t>
      </w:r>
      <w:r w:rsidR="00841E0D">
        <w:rPr>
          <w:noProof/>
        </w:rPr>
        <w:t>.2020.</w:t>
      </w:r>
    </w:p>
    <w:p w14:paraId="78D4876D" w14:textId="78F23F7D" w:rsidR="00B93AD6" w:rsidRDefault="0068183D" w:rsidP="00B93AD6">
      <w:pPr>
        <w:pStyle w:val="AJARCDE-Reference"/>
        <w:rPr>
          <w:noProof/>
        </w:rPr>
      </w:pPr>
      <w:r w:rsidRPr="0068183D">
        <w:rPr>
          <w:noProof/>
        </w:rPr>
        <w:t xml:space="preserve">Lubis, Y. H., Panggabean, E. L., &amp; Azhari, A.  Pengaruh Pemberian Pupuk Kandang dan Mikoriza terhadap Pertumbuhan Tanaman Kelapa Sawit (Elaeis guineensis </w:t>
      </w:r>
    </w:p>
    <w:p w14:paraId="0F2DAD30" w14:textId="2A4A20AE" w:rsidR="00B93AD6" w:rsidRDefault="0068183D" w:rsidP="00B93AD6">
      <w:pPr>
        <w:pStyle w:val="AJARCDE-Reference"/>
        <w:rPr>
          <w:noProof/>
        </w:rPr>
      </w:pPr>
      <w:r w:rsidRPr="0068183D">
        <w:rPr>
          <w:noProof/>
        </w:rPr>
        <w:t xml:space="preserve">Maman, U., Aminudin, I., &amp; Novriana, E. Efektifitas Pupuk Bersubsidi Terhadap Peningkatan Produktivitas Padi Sawah. </w:t>
      </w:r>
      <w:r w:rsidRPr="00B93AD6">
        <w:rPr>
          <w:i/>
          <w:iCs/>
          <w:noProof/>
        </w:rPr>
        <w:t>Jurnal Agribisnis Terpadu</w:t>
      </w:r>
      <w:r w:rsidRPr="0068183D">
        <w:rPr>
          <w:noProof/>
        </w:rPr>
        <w:t xml:space="preserve">, </w:t>
      </w:r>
      <w:r w:rsidRPr="00B93AD6">
        <w:rPr>
          <w:i/>
          <w:iCs/>
          <w:noProof/>
        </w:rPr>
        <w:t>14</w:t>
      </w:r>
      <w:r w:rsidRPr="0068183D">
        <w:rPr>
          <w:noProof/>
        </w:rPr>
        <w:t>(2), 176. https://doi.org/10.33512/jat.v14i2.13268</w:t>
      </w:r>
      <w:r w:rsidR="00841E0D">
        <w:rPr>
          <w:noProof/>
        </w:rPr>
        <w:t xml:space="preserve">. 2021. </w:t>
      </w:r>
    </w:p>
    <w:p w14:paraId="716E6C55" w14:textId="2724C674" w:rsidR="0068183D" w:rsidRPr="0068183D" w:rsidRDefault="0068183D" w:rsidP="00687377">
      <w:pPr>
        <w:pStyle w:val="AJARCDE-Reference"/>
        <w:rPr>
          <w:noProof/>
        </w:rPr>
      </w:pPr>
      <w:r w:rsidRPr="00687377">
        <w:rPr>
          <w:shd w:val="clear" w:color="auto" w:fill="FFFFFF"/>
        </w:rPr>
        <w:t>Manggala, R. B., &amp; Boedirochminarni, A.  Faktor-Faktor Yang Mempengaruhi Produksi Padi Di Desa Sumengko Kecamatan Sukomoro Kabupaten Nganjuk. </w:t>
      </w:r>
      <w:r w:rsidRPr="00687377">
        <w:rPr>
          <w:i/>
          <w:iCs/>
          <w:shd w:val="clear" w:color="auto" w:fill="FFFFFF"/>
        </w:rPr>
        <w:t>Jurnal Ilmu Ekonomi</w:t>
      </w:r>
      <w:r w:rsidRPr="00687377">
        <w:rPr>
          <w:shd w:val="clear" w:color="auto" w:fill="FFFFFF"/>
        </w:rPr>
        <w:t>, </w:t>
      </w:r>
      <w:r w:rsidRPr="00687377">
        <w:rPr>
          <w:i/>
          <w:iCs/>
          <w:shd w:val="clear" w:color="auto" w:fill="FFFFFF"/>
        </w:rPr>
        <w:t>2</w:t>
      </w:r>
      <w:r w:rsidRPr="00687377">
        <w:rPr>
          <w:shd w:val="clear" w:color="auto" w:fill="FFFFFF"/>
        </w:rPr>
        <w:t xml:space="preserve">(3), 441–452. </w:t>
      </w:r>
      <w:hyperlink r:id="rId15" w:history="1">
        <w:r w:rsidRPr="00687377">
          <w:rPr>
            <w:rStyle w:val="Hyperlink"/>
            <w:sz w:val="16"/>
            <w:szCs w:val="16"/>
            <w:shd w:val="clear" w:color="auto" w:fill="FFFFFF"/>
          </w:rPr>
          <w:t>https://doi.org/10.22219/jie.v2i3.7109</w:t>
        </w:r>
      </w:hyperlink>
      <w:r w:rsidR="00841E0D" w:rsidRPr="00687377">
        <w:rPr>
          <w:rStyle w:val="Hyperlink"/>
          <w:color w:val="auto"/>
          <w:sz w:val="16"/>
          <w:szCs w:val="16"/>
          <w:shd w:val="clear" w:color="auto" w:fill="FFFFFF"/>
        </w:rPr>
        <w:t>. 2018.</w:t>
      </w:r>
    </w:p>
    <w:p w14:paraId="343EE96C" w14:textId="6A60C9D6" w:rsidR="0068183D" w:rsidRPr="0068183D" w:rsidRDefault="0068183D" w:rsidP="00687377">
      <w:pPr>
        <w:pStyle w:val="AJARCDE-Reference"/>
        <w:rPr>
          <w:noProof/>
        </w:rPr>
      </w:pPr>
      <w:r w:rsidRPr="0068183D">
        <w:rPr>
          <w:noProof/>
        </w:rPr>
        <w:t xml:space="preserve">Novera, S. T., Ayesfi, I., Virqiyan, S., Rustinar, E., &amp; Sakroni.  Kontribusi Sosial Mahasiswa Pertukaran Mahasiswa Merdeka Dalam Meningkatkan Mutu Pendidikan Di Sdn 03 Lombok Timur. </w:t>
      </w:r>
      <w:r w:rsidRPr="0068183D">
        <w:rPr>
          <w:i/>
          <w:iCs/>
          <w:noProof/>
        </w:rPr>
        <w:t>Jurnal Pengabdian Mandiri</w:t>
      </w:r>
      <w:r w:rsidRPr="0068183D">
        <w:rPr>
          <w:noProof/>
        </w:rPr>
        <w:t xml:space="preserve">, </w:t>
      </w:r>
      <w:r w:rsidRPr="0068183D">
        <w:rPr>
          <w:i/>
          <w:iCs/>
          <w:noProof/>
        </w:rPr>
        <w:t>2</w:t>
      </w:r>
      <w:r w:rsidRPr="0068183D">
        <w:rPr>
          <w:noProof/>
        </w:rPr>
        <w:t>(2), 797–808. https://www.bajangjournal.com/index.php/JPM/article/view/5171</w:t>
      </w:r>
      <w:r w:rsidR="009F773D">
        <w:rPr>
          <w:noProof/>
        </w:rPr>
        <w:t>. 2023.</w:t>
      </w:r>
    </w:p>
    <w:p w14:paraId="6063A7DE" w14:textId="46819300" w:rsidR="0068183D" w:rsidRPr="0068183D" w:rsidRDefault="0068183D" w:rsidP="00687377">
      <w:pPr>
        <w:pStyle w:val="AJARCDE-Reference"/>
        <w:rPr>
          <w:rStyle w:val="value"/>
          <w:sz w:val="16"/>
          <w:szCs w:val="16"/>
        </w:rPr>
      </w:pPr>
      <w:hyperlink r:id="rId16" w:tgtFrame="_blank" w:history="1">
        <w:r w:rsidRPr="0068183D">
          <w:rPr>
            <w:rStyle w:val="name"/>
            <w:sz w:val="16"/>
            <w:szCs w:val="16"/>
          </w:rPr>
          <w:t>Rahmat,S.P</w:t>
        </w:r>
      </w:hyperlink>
      <w:r w:rsidRPr="0068183D">
        <w:rPr>
          <w:rStyle w:val="col"/>
          <w:sz w:val="16"/>
          <w:szCs w:val="16"/>
        </w:rPr>
        <w:t>, </w:t>
      </w:r>
      <w:r w:rsidRPr="0068183D">
        <w:rPr>
          <w:rStyle w:val="name"/>
          <w:sz w:val="16"/>
          <w:szCs w:val="16"/>
        </w:rPr>
        <w:t>Jana, P.U.</w:t>
      </w:r>
      <w:r w:rsidRPr="0068183D">
        <w:rPr>
          <w:rStyle w:val="col"/>
          <w:sz w:val="16"/>
          <w:szCs w:val="16"/>
        </w:rPr>
        <w:t>, </w:t>
      </w:r>
      <w:r w:rsidRPr="0068183D">
        <w:rPr>
          <w:rStyle w:val="name"/>
          <w:sz w:val="16"/>
          <w:szCs w:val="16"/>
        </w:rPr>
        <w:t>Aflahun, F.S.</w:t>
      </w:r>
      <w:r w:rsidRPr="0068183D">
        <w:rPr>
          <w:rStyle w:val="col"/>
          <w:sz w:val="16"/>
          <w:szCs w:val="16"/>
        </w:rPr>
        <w:t>, </w:t>
      </w:r>
      <w:r w:rsidRPr="0068183D">
        <w:rPr>
          <w:rStyle w:val="name"/>
          <w:sz w:val="16"/>
          <w:szCs w:val="16"/>
        </w:rPr>
        <w:t>Salsabila, S.</w:t>
      </w:r>
      <w:r w:rsidRPr="0068183D">
        <w:rPr>
          <w:rStyle w:val="col"/>
          <w:sz w:val="16"/>
          <w:szCs w:val="16"/>
        </w:rPr>
        <w:t>, </w:t>
      </w:r>
      <w:r w:rsidRPr="0068183D">
        <w:rPr>
          <w:rStyle w:val="name"/>
          <w:sz w:val="16"/>
          <w:szCs w:val="16"/>
        </w:rPr>
        <w:t>Wildani, L.</w:t>
      </w:r>
      <w:r w:rsidRPr="0068183D">
        <w:rPr>
          <w:rStyle w:val="col"/>
          <w:sz w:val="16"/>
          <w:szCs w:val="16"/>
        </w:rPr>
        <w:t>, </w:t>
      </w:r>
      <w:r w:rsidRPr="0068183D">
        <w:rPr>
          <w:rStyle w:val="name"/>
          <w:sz w:val="16"/>
          <w:szCs w:val="16"/>
        </w:rPr>
        <w:t xml:space="preserve">Dian. R.I  </w:t>
      </w:r>
      <w:r w:rsidRPr="0068183D">
        <w:t xml:space="preserve">Analisis Pendapatan Petani Serta Faktor Yang Mempengaruhi Produksi Padi Sawah Di Kecamatan Baktinya Kabupaten Aceh Utara. </w:t>
      </w:r>
      <w:r w:rsidRPr="0068183D">
        <w:rPr>
          <w:i/>
          <w:iCs/>
        </w:rPr>
        <w:t>Jurnal Agrica</w:t>
      </w:r>
      <w:hyperlink r:id="rId17" w:history="1">
        <w:r w:rsidRPr="0068183D">
          <w:rPr>
            <w:rStyle w:val="Hyperlink"/>
            <w:i/>
            <w:iCs/>
            <w:sz w:val="16"/>
            <w:szCs w:val="16"/>
          </w:rPr>
          <w:t>16(1)</w:t>
        </w:r>
      </w:hyperlink>
      <w:r w:rsidRPr="0068183D">
        <w:rPr>
          <w:rStyle w:val="value"/>
          <w:sz w:val="16"/>
          <w:szCs w:val="16"/>
        </w:rPr>
        <w:t>.</w:t>
      </w:r>
      <w:r w:rsidRPr="0068183D">
        <w:t xml:space="preserve"> </w:t>
      </w:r>
      <w:hyperlink r:id="rId18" w:history="1">
        <w:r w:rsidRPr="0068183D">
          <w:rPr>
            <w:rStyle w:val="Hyperlink"/>
            <w:sz w:val="16"/>
            <w:szCs w:val="16"/>
          </w:rPr>
          <w:t>https://www.ojs.uma.ac.id/index.php</w:t>
        </w:r>
      </w:hyperlink>
      <w:r w:rsidR="002241BD">
        <w:rPr>
          <w:rStyle w:val="Hyperlink"/>
          <w:color w:val="auto"/>
          <w:sz w:val="16"/>
          <w:szCs w:val="16"/>
        </w:rPr>
        <w:t>. 2023.</w:t>
      </w:r>
    </w:p>
    <w:p w14:paraId="3336FFEA" w14:textId="1E0052E6" w:rsidR="00687377" w:rsidRPr="0068183D" w:rsidRDefault="002241BD" w:rsidP="000762F8">
      <w:pPr>
        <w:pStyle w:val="AJARCDE-Reference"/>
        <w:numPr>
          <w:ilvl w:val="0"/>
          <w:numId w:val="0"/>
        </w:numPr>
        <w:ind w:left="567"/>
        <w:rPr>
          <w:noProof/>
        </w:rPr>
      </w:pPr>
      <w:r>
        <w:rPr>
          <w:noProof/>
        </w:rPr>
        <w:t xml:space="preserve">[12] </w:t>
      </w:r>
      <w:r w:rsidR="0068183D" w:rsidRPr="0068183D">
        <w:rPr>
          <w:noProof/>
        </w:rPr>
        <w:t>Religia, S., Anggraeini, R., Agama, S., Islam, U., Ra</w:t>
      </w:r>
    </w:p>
    <w:p w14:paraId="5F29B1C2" w14:textId="77777777" w:rsidR="0068183D" w:rsidRPr="0068183D" w:rsidRDefault="0068183D" w:rsidP="00687377">
      <w:pPr>
        <w:pStyle w:val="AJARCDE-Reference"/>
        <w:numPr>
          <w:ilvl w:val="0"/>
          <w:numId w:val="0"/>
        </w:numPr>
      </w:pPr>
      <w:r w:rsidRPr="0068183D">
        <w:fldChar w:fldCharType="end"/>
      </w:r>
    </w:p>
    <w:p w14:paraId="5D954DEB" w14:textId="77777777" w:rsidR="0068183D" w:rsidRPr="0068183D" w:rsidRDefault="0068183D" w:rsidP="0068183D">
      <w:pPr>
        <w:spacing w:line="240" w:lineRule="auto"/>
        <w:ind w:firstLine="720"/>
        <w:jc w:val="center"/>
        <w:rPr>
          <w:rFonts w:cs="Times New Roman"/>
          <w:sz w:val="16"/>
          <w:szCs w:val="16"/>
        </w:rPr>
      </w:pPr>
    </w:p>
    <w:p w14:paraId="43DB2688" w14:textId="77777777" w:rsidR="0068183D" w:rsidRPr="0068183D" w:rsidRDefault="0068183D" w:rsidP="0068183D">
      <w:pPr>
        <w:spacing w:line="240" w:lineRule="auto"/>
        <w:ind w:firstLine="720"/>
        <w:jc w:val="center"/>
        <w:rPr>
          <w:rFonts w:cs="Times New Roman"/>
          <w:sz w:val="16"/>
          <w:szCs w:val="16"/>
        </w:rPr>
      </w:pPr>
    </w:p>
    <w:p w14:paraId="49621A67" w14:textId="77777777" w:rsidR="0068183D" w:rsidRPr="0068183D" w:rsidRDefault="0068183D" w:rsidP="0068183D">
      <w:pPr>
        <w:spacing w:line="240" w:lineRule="auto"/>
        <w:ind w:firstLine="720"/>
        <w:jc w:val="center"/>
        <w:rPr>
          <w:rFonts w:cs="Times New Roman"/>
          <w:sz w:val="16"/>
          <w:szCs w:val="16"/>
        </w:rPr>
      </w:pPr>
    </w:p>
    <w:p w14:paraId="68298AD4" w14:textId="539BC9F1" w:rsidR="00712086" w:rsidRPr="0068183D" w:rsidRDefault="00712086" w:rsidP="009B5205">
      <w:pPr>
        <w:pStyle w:val="BodyChar"/>
        <w:rPr>
          <w:sz w:val="16"/>
          <w:szCs w:val="16"/>
        </w:rPr>
      </w:pPr>
    </w:p>
    <w:sectPr w:rsidR="00712086" w:rsidRPr="0068183D" w:rsidSect="004600A5">
      <w:headerReference w:type="even" r:id="rId19"/>
      <w:type w:val="continuous"/>
      <w:pgSz w:w="11900" w:h="16840"/>
      <w:pgMar w:top="1134" w:right="851" w:bottom="1134" w:left="1134" w:header="567" w:footer="850"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D9D0B" w14:textId="77777777" w:rsidR="00446482" w:rsidRDefault="00446482" w:rsidP="00F94815">
      <w:r>
        <w:separator/>
      </w:r>
    </w:p>
  </w:endnote>
  <w:endnote w:type="continuationSeparator" w:id="0">
    <w:p w14:paraId="75AC3D22" w14:textId="77777777" w:rsidR="00446482" w:rsidRDefault="00446482"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12B09" w14:textId="533900C7"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E63B5">
      <w:rPr>
        <w:rStyle w:val="PageNumber"/>
        <w:noProof/>
      </w:rPr>
      <w:t>2</w:t>
    </w:r>
    <w:r>
      <w:rPr>
        <w:rStyle w:val="PageNumber"/>
      </w:rPr>
      <w:fldChar w:fldCharType="end"/>
    </w:r>
  </w:p>
  <w:p w14:paraId="1B236325" w14:textId="6E19F333" w:rsidR="00D40B2A" w:rsidRDefault="009938FA" w:rsidP="00D40B2A">
    <w:pPr>
      <w:pStyle w:val="Footer"/>
      <w:ind w:right="360" w:firstLine="360"/>
    </w:pPr>
    <w:proofErr w:type="spellStart"/>
    <w:r>
      <w:t>Vongtanaboon</w:t>
    </w:r>
    <w:proofErr w:type="spellEnd"/>
    <w:r w:rsidR="00C83AB0">
      <w:t xml:space="preserve"> et al.</w:t>
    </w:r>
    <w:r w:rsidR="00405CA9">
      <w:tab/>
    </w:r>
    <w:r w:rsidR="00405CA9">
      <w:tab/>
    </w:r>
    <w:r w:rsidR="00F8484D" w:rsidRPr="00DF61F0">
      <w:rPr>
        <w:sz w:val="16"/>
      </w:rPr>
      <w:t>https://doi.org/10.29165/ajarcde.v</w:t>
    </w:r>
    <w:r w:rsidR="00B93AD6">
      <w:rPr>
        <w:sz w:val="16"/>
      </w:rPr>
      <w:t>9</w:t>
    </w:r>
    <w:r w:rsidR="00F8484D" w:rsidRPr="00DF61F0">
      <w:rPr>
        <w:sz w:val="16"/>
      </w:rPr>
      <w:t>i</w:t>
    </w:r>
    <w:r w:rsidR="00B93AD6">
      <w:rPr>
        <w:sz w:val="16"/>
      </w:rPr>
      <w:t>1</w:t>
    </w:r>
    <w:r w:rsidR="00F8484D">
      <w:rPr>
        <w:sz w:val="16"/>
      </w:rPr>
      <w:t>.407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CC320" w14:textId="1960D65B" w:rsidR="00D40B2A" w:rsidRDefault="00D40B2A" w:rsidP="004F4985">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9E63B5">
      <w:rPr>
        <w:rStyle w:val="PageNumber"/>
        <w:noProof/>
      </w:rPr>
      <w:t>5</w:t>
    </w:r>
    <w:r>
      <w:rPr>
        <w:rStyle w:val="PageNumber"/>
      </w:rPr>
      <w:fldChar w:fldCharType="end"/>
    </w:r>
  </w:p>
  <w:p w14:paraId="764B1758" w14:textId="07E908F6" w:rsidR="00D40B2A" w:rsidRDefault="005D2DF7" w:rsidP="005D2DF7">
    <w:pPr>
      <w:pStyle w:val="Footer"/>
      <w:ind w:right="360" w:firstLine="360"/>
    </w:pPr>
    <w:r w:rsidRPr="00DF61F0">
      <w:rPr>
        <w:sz w:val="16"/>
      </w:rPr>
      <w:t>https://doi.org/10.29165/ajarcde.v</w:t>
    </w:r>
    <w:r w:rsidR="00B93AD6">
      <w:rPr>
        <w:sz w:val="16"/>
      </w:rPr>
      <w:t>9</w:t>
    </w:r>
    <w:r w:rsidRPr="00DF61F0">
      <w:rPr>
        <w:sz w:val="16"/>
      </w:rPr>
      <w:t>i</w:t>
    </w:r>
    <w:r w:rsidR="00B93AD6">
      <w:rPr>
        <w:sz w:val="16"/>
      </w:rPr>
      <w:t>1</w:t>
    </w:r>
    <w:r>
      <w:rPr>
        <w:sz w:val="16"/>
      </w:rPr>
      <w:t>.407</w:t>
    </w:r>
    <w:r w:rsidR="00C318F3">
      <w:rPr>
        <w:sz w:val="16"/>
      </w:rPr>
      <w:tab/>
    </w:r>
    <w:r w:rsidR="00C318F3">
      <w:rPr>
        <w:sz w:val="16"/>
      </w:rPr>
      <w:tab/>
    </w:r>
    <w:proofErr w:type="spellStart"/>
    <w:r w:rsidR="009938FA">
      <w:rPr>
        <w:sz w:val="16"/>
      </w:rPr>
      <w:t>Vongtanaboon</w:t>
    </w:r>
    <w:proofErr w:type="spellEnd"/>
    <w:r>
      <w:rPr>
        <w:sz w:val="16"/>
      </w:rPr>
      <w:t xml:space="preserve"> </w:t>
    </w:r>
    <w:r w:rsidR="00D74137" w:rsidRPr="00D74137">
      <w:rPr>
        <w:sz w:val="16"/>
      </w:rPr>
      <w:t>et 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8C0A6" w14:textId="77777777" w:rsidR="00F8484D" w:rsidRDefault="00F8484D" w:rsidP="00F8484D">
    <w:pPr>
      <w:pStyle w:val="BodyText"/>
      <w:rPr>
        <w:sz w:val="20"/>
      </w:rPr>
    </w:pPr>
    <w:bookmarkStart w:id="2" w:name="_Hlk152099258"/>
    <w:r>
      <w:rPr>
        <w:noProof/>
        <w:sz w:val="20"/>
        <w:lang w:val="id-ID" w:eastAsia="id-ID"/>
      </w:rPr>
      <w:drawing>
        <wp:inline distT="0" distB="0" distL="0" distR="0" wp14:anchorId="3673718E" wp14:editId="05D813E7">
          <wp:extent cx="862449" cy="301752"/>
          <wp:effectExtent l="0" t="0" r="0" b="0"/>
          <wp:docPr id="1453748485" name="Picture 1453748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862449" cy="301752"/>
                  </a:xfrm>
                  <a:prstGeom prst="rect">
                    <a:avLst/>
                  </a:prstGeom>
                </pic:spPr>
              </pic:pic>
            </a:graphicData>
          </a:graphic>
        </wp:inline>
      </w:drawing>
    </w:r>
    <w:r w:rsidRPr="00677457">
      <w:rPr>
        <w:sz w:val="16"/>
      </w:rPr>
      <w:tab/>
    </w:r>
    <w:bookmarkStart w:id="3" w:name="_Hlk149583658"/>
  </w:p>
  <w:p w14:paraId="2C338755" w14:textId="77777777" w:rsidR="00F8484D" w:rsidRPr="00F7419C" w:rsidRDefault="00F8484D" w:rsidP="00F8484D">
    <w:pPr>
      <w:jc w:val="left"/>
      <w:rPr>
        <w:rFonts w:cs="Times New Roman"/>
        <w:sz w:val="16"/>
      </w:rPr>
    </w:pPr>
    <w:r w:rsidRPr="00F7419C">
      <w:rPr>
        <w:rFonts w:cs="Times New Roman"/>
      </w:rPr>
      <w:t>This</w:t>
    </w:r>
    <w:r w:rsidRPr="00F7419C">
      <w:rPr>
        <w:rFonts w:cs="Times New Roman"/>
        <w:spacing w:val="-3"/>
      </w:rPr>
      <w:t xml:space="preserve"> </w:t>
    </w:r>
    <w:r w:rsidRPr="00F7419C">
      <w:rPr>
        <w:rFonts w:cs="Times New Roman"/>
      </w:rPr>
      <w:t>work</w:t>
    </w:r>
    <w:r w:rsidRPr="00F7419C">
      <w:rPr>
        <w:rFonts w:cs="Times New Roman"/>
        <w:spacing w:val="-2"/>
      </w:rPr>
      <w:t xml:space="preserve"> </w:t>
    </w:r>
    <w:r w:rsidRPr="00F7419C">
      <w:rPr>
        <w:rFonts w:cs="Times New Roman"/>
      </w:rPr>
      <w:t>is</w:t>
    </w:r>
    <w:r w:rsidRPr="00F7419C">
      <w:rPr>
        <w:rFonts w:cs="Times New Roman"/>
        <w:spacing w:val="-2"/>
      </w:rPr>
      <w:t xml:space="preserve"> </w:t>
    </w:r>
    <w:r w:rsidRPr="00F7419C">
      <w:rPr>
        <w:rFonts w:cs="Times New Roman"/>
      </w:rPr>
      <w:t>licensed</w:t>
    </w:r>
    <w:r w:rsidRPr="00F7419C">
      <w:rPr>
        <w:rFonts w:cs="Times New Roman"/>
        <w:spacing w:val="-2"/>
      </w:rPr>
      <w:t xml:space="preserve"> </w:t>
    </w:r>
    <w:r w:rsidRPr="00F7419C">
      <w:rPr>
        <w:rFonts w:cs="Times New Roman"/>
      </w:rPr>
      <w:t>under</w:t>
    </w:r>
    <w:r w:rsidRPr="00F7419C">
      <w:rPr>
        <w:rFonts w:cs="Times New Roman"/>
        <w:spacing w:val="-5"/>
      </w:rPr>
      <w:t xml:space="preserve"> </w:t>
    </w:r>
    <w:r w:rsidRPr="00F7419C">
      <w:rPr>
        <w:rFonts w:cs="Times New Roman"/>
      </w:rPr>
      <w:t xml:space="preserve">a </w:t>
    </w:r>
    <w:r w:rsidRPr="00F7419C">
      <w:rPr>
        <w:rFonts w:cs="Times New Roman"/>
        <w:sz w:val="16"/>
      </w:rPr>
      <w:t>Creative</w:t>
    </w:r>
    <w:r w:rsidRPr="00F7419C">
      <w:rPr>
        <w:rFonts w:cs="Times New Roman"/>
        <w:spacing w:val="-3"/>
        <w:sz w:val="16"/>
      </w:rPr>
      <w:t xml:space="preserve"> </w:t>
    </w:r>
    <w:r w:rsidRPr="00F7419C">
      <w:rPr>
        <w:rFonts w:cs="Times New Roman"/>
        <w:sz w:val="16"/>
      </w:rPr>
      <w:t>Commons</w:t>
    </w:r>
    <w:r w:rsidRPr="00F7419C">
      <w:rPr>
        <w:rFonts w:cs="Times New Roman"/>
        <w:spacing w:val="-2"/>
        <w:sz w:val="16"/>
      </w:rPr>
      <w:t xml:space="preserve"> </w:t>
    </w:r>
    <w:r w:rsidRPr="00F7419C">
      <w:rPr>
        <w:rFonts w:cs="Times New Roman"/>
        <w:sz w:val="16"/>
      </w:rPr>
      <w:t>Attribution-</w:t>
    </w:r>
    <w:proofErr w:type="spellStart"/>
    <w:r w:rsidRPr="00F7419C">
      <w:rPr>
        <w:rFonts w:cs="Times New Roman"/>
        <w:sz w:val="16"/>
      </w:rPr>
      <w:t>NonCommercial</w:t>
    </w:r>
    <w:proofErr w:type="spellEnd"/>
    <w:r w:rsidRPr="00F7419C">
      <w:rPr>
        <w:rFonts w:cs="Times New Roman"/>
        <w:sz w:val="16"/>
      </w:rPr>
      <w:t>-</w:t>
    </w:r>
    <w:proofErr w:type="spellStart"/>
    <w:r w:rsidRPr="00F7419C">
      <w:rPr>
        <w:rFonts w:cs="Times New Roman"/>
        <w:sz w:val="16"/>
      </w:rPr>
      <w:t>ShareAlike</w:t>
    </w:r>
    <w:proofErr w:type="spellEnd"/>
    <w:r w:rsidRPr="00F7419C">
      <w:rPr>
        <w:rFonts w:cs="Times New Roman"/>
        <w:spacing w:val="-4"/>
        <w:sz w:val="16"/>
      </w:rPr>
      <w:t xml:space="preserve"> </w:t>
    </w:r>
    <w:r w:rsidRPr="00F7419C">
      <w:rPr>
        <w:rFonts w:cs="Times New Roman"/>
        <w:sz w:val="16"/>
      </w:rPr>
      <w:t>4.0</w:t>
    </w:r>
    <w:r w:rsidRPr="00F7419C">
      <w:rPr>
        <w:rFonts w:cs="Times New Roman"/>
        <w:spacing w:val="-2"/>
        <w:sz w:val="16"/>
      </w:rPr>
      <w:t xml:space="preserve"> </w:t>
    </w:r>
    <w:r w:rsidRPr="00F7419C">
      <w:rPr>
        <w:rFonts w:cs="Times New Roman"/>
        <w:sz w:val="16"/>
      </w:rPr>
      <w:t>International</w:t>
    </w:r>
    <w:r w:rsidRPr="00F7419C">
      <w:rPr>
        <w:rFonts w:cs="Times New Roman"/>
        <w:spacing w:val="-3"/>
        <w:sz w:val="16"/>
      </w:rPr>
      <w:t xml:space="preserve"> </w:t>
    </w:r>
    <w:r w:rsidRPr="00F7419C">
      <w:rPr>
        <w:rFonts w:cs="Times New Roman"/>
        <w:sz w:val="16"/>
      </w:rPr>
      <w:t>License</w:t>
    </w:r>
  </w:p>
  <w:p w14:paraId="195F98B0" w14:textId="4FDB986D" w:rsidR="00677457" w:rsidRPr="00677457" w:rsidRDefault="00F8484D" w:rsidP="00F8484D">
    <w:pPr>
      <w:pStyle w:val="Footer"/>
      <w:tabs>
        <w:tab w:val="clear" w:pos="9360"/>
        <w:tab w:val="right" w:pos="9915"/>
      </w:tabs>
      <w:rPr>
        <w:sz w:val="16"/>
      </w:rPr>
    </w:pPr>
    <w:r w:rsidRPr="00F7419C">
      <w:t>Published</w:t>
    </w:r>
    <w:r w:rsidRPr="00F7419C">
      <w:rPr>
        <w:spacing w:val="-4"/>
      </w:rPr>
      <w:t xml:space="preserve"> </w:t>
    </w:r>
    <w:r w:rsidRPr="00F7419C">
      <w:t>under</w:t>
    </w:r>
    <w:r w:rsidRPr="00F7419C">
      <w:rPr>
        <w:spacing w:val="-3"/>
      </w:rPr>
      <w:t xml:space="preserve"> </w:t>
    </w:r>
    <w:proofErr w:type="spellStart"/>
    <w:r w:rsidRPr="00F7419C">
      <w:t>licence</w:t>
    </w:r>
    <w:proofErr w:type="spellEnd"/>
    <w:r w:rsidRPr="00F7419C">
      <w:rPr>
        <w:spacing w:val="-6"/>
      </w:rPr>
      <w:t xml:space="preserve"> </w:t>
    </w:r>
    <w:r w:rsidRPr="00F7419C">
      <w:t>by</w:t>
    </w:r>
    <w:r w:rsidRPr="00F7419C">
      <w:rPr>
        <w:spacing w:val="-5"/>
      </w:rPr>
      <w:t xml:space="preserve"> </w:t>
    </w:r>
    <w:r w:rsidRPr="00F7419C">
      <w:t>SAFE-Network</w:t>
    </w:r>
    <w:bookmarkEnd w:id="2"/>
    <w:bookmarkEnd w:id="3"/>
    <w:r w:rsidR="00677457" w:rsidRPr="00677457">
      <w:rPr>
        <w:sz w:val="16"/>
      </w:rPr>
      <w:tab/>
    </w:r>
    <w:r w:rsidR="00677457" w:rsidRPr="00677457">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2F3C3A" w14:textId="77777777" w:rsidR="00446482" w:rsidRDefault="00446482" w:rsidP="00F94815">
      <w:r>
        <w:separator/>
      </w:r>
    </w:p>
  </w:footnote>
  <w:footnote w:type="continuationSeparator" w:id="0">
    <w:p w14:paraId="7AB65EC8" w14:textId="77777777" w:rsidR="00446482" w:rsidRDefault="00446482" w:rsidP="00F94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202F4" w14:textId="6E1CFC9D" w:rsidR="00D40B2A" w:rsidRDefault="00D40B2A"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sidR="009D4184">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proofErr w:type="spellStart"/>
    <w:r w:rsidRPr="006421F8">
      <w:rPr>
        <w:rFonts w:cs="Times New Roman"/>
        <w:smallCaps/>
        <w:color w:val="808080" w:themeColor="background1" w:themeShade="80"/>
        <w:sz w:val="13"/>
        <w:szCs w:val="15"/>
      </w:rPr>
      <w:t>Jurnal</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Optimasi</w:t>
    </w:r>
    <w:proofErr w:type="spellEnd"/>
    <w:r w:rsidRPr="006421F8">
      <w:rPr>
        <w:rFonts w:cs="Times New Roman"/>
        <w:smallCaps/>
        <w:color w:val="808080" w:themeColor="background1" w:themeShade="80"/>
        <w:sz w:val="13"/>
        <w:szCs w:val="15"/>
      </w:rPr>
      <w:t xml:space="preserve"> </w:t>
    </w:r>
    <w:proofErr w:type="spellStart"/>
    <w:r w:rsidRPr="006421F8">
      <w:rPr>
        <w:rFonts w:cs="Times New Roman"/>
        <w:smallCaps/>
        <w:color w:val="808080" w:themeColor="background1" w:themeShade="80"/>
        <w:sz w:val="13"/>
        <w:szCs w:val="15"/>
      </w:rPr>
      <w:t>Sistem</w:t>
    </w:r>
    <w:proofErr w:type="spellEnd"/>
    <w:r w:rsidRPr="006421F8">
      <w:rPr>
        <w:rFonts w:cs="Times New Roman"/>
        <w:smallCaps/>
        <w:color w:val="808080" w:themeColor="background1" w:themeShade="80"/>
        <w:sz w:val="13"/>
        <w:szCs w:val="15"/>
      </w:rPr>
      <w:t xml:space="preserve"> Industri</w:t>
    </w:r>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E4CE08" w14:textId="15963FB2" w:rsidR="00D40B2A" w:rsidRPr="000207F4" w:rsidRDefault="009938FA" w:rsidP="000207F4">
    <w:pPr>
      <w:pStyle w:val="Header"/>
      <w:jc w:val="center"/>
    </w:pPr>
    <w:r w:rsidRPr="009938FA">
      <w:rPr>
        <w:rFonts w:cs="Times New Roman"/>
        <w:smallCaps/>
        <w:color w:val="808080" w:themeColor="background1" w:themeShade="80"/>
        <w:sz w:val="13"/>
        <w:szCs w:val="15"/>
      </w:rPr>
      <w:t xml:space="preserve">S. </w:t>
    </w:r>
    <w:proofErr w:type="spellStart"/>
    <w:r w:rsidRPr="009938FA">
      <w:rPr>
        <w:rFonts w:cs="Times New Roman"/>
        <w:smallCaps/>
        <w:color w:val="808080" w:themeColor="background1" w:themeShade="80"/>
        <w:sz w:val="13"/>
        <w:szCs w:val="15"/>
      </w:rPr>
      <w:t>V</w:t>
    </w:r>
    <w:r>
      <w:rPr>
        <w:rFonts w:cs="Times New Roman"/>
        <w:smallCaps/>
        <w:color w:val="808080" w:themeColor="background1" w:themeShade="80"/>
        <w:sz w:val="13"/>
        <w:szCs w:val="15"/>
      </w:rPr>
      <w:t>ongtanaboon</w:t>
    </w:r>
    <w:proofErr w:type="spellEnd"/>
    <w:r w:rsidR="000207F4" w:rsidRPr="000207F4">
      <w:rPr>
        <w:rFonts w:cs="Times New Roman"/>
        <w:smallCaps/>
        <w:color w:val="808080" w:themeColor="background1" w:themeShade="80"/>
        <w:sz w:val="13"/>
        <w:szCs w:val="15"/>
      </w:rPr>
      <w:t xml:space="preserve">/Asian Journal of Applied Research for Community Development and Empowerment. Vol </w:t>
    </w:r>
    <w:r w:rsidR="00B93AD6">
      <w:rPr>
        <w:rFonts w:cs="Times New Roman"/>
        <w:smallCaps/>
        <w:color w:val="808080" w:themeColor="background1" w:themeShade="80"/>
        <w:sz w:val="13"/>
        <w:szCs w:val="15"/>
      </w:rPr>
      <w:t>9</w:t>
    </w:r>
    <w:r w:rsidR="000207F4" w:rsidRPr="000207F4">
      <w:rPr>
        <w:rFonts w:cs="Times New Roman"/>
        <w:smallCaps/>
        <w:color w:val="808080" w:themeColor="background1" w:themeShade="80"/>
        <w:sz w:val="13"/>
        <w:szCs w:val="15"/>
      </w:rPr>
      <w:t xml:space="preserve"> (20</w:t>
    </w:r>
    <w:r w:rsidR="00F8484D">
      <w:rPr>
        <w:rFonts w:cs="Times New Roman"/>
        <w:smallCaps/>
        <w:color w:val="808080" w:themeColor="background1" w:themeShade="80"/>
        <w:sz w:val="13"/>
        <w:szCs w:val="15"/>
      </w:rPr>
      <w:t>2</w:t>
    </w:r>
    <w:r w:rsidR="00B93AD6">
      <w:rPr>
        <w:rFonts w:cs="Times New Roman"/>
        <w:smallCaps/>
        <w:color w:val="808080" w:themeColor="background1" w:themeShade="80"/>
        <w:sz w:val="13"/>
        <w:szCs w:val="15"/>
      </w:rPr>
      <w:t>5</w:t>
    </w:r>
    <w:r w:rsidR="000207F4" w:rsidRPr="000207F4">
      <w:rPr>
        <w:rFonts w:cs="Times New Roman"/>
        <w:smallCaps/>
        <w:color w:val="808080" w:themeColor="background1" w:themeShade="80"/>
        <w:sz w:val="13"/>
        <w:szCs w:val="15"/>
      </w:rPr>
      <w:t>), No.</w:t>
    </w:r>
    <w:r w:rsidR="00B93AD6">
      <w:rPr>
        <w:rFonts w:cs="Times New Roman"/>
        <w:smallCaps/>
        <w:color w:val="808080" w:themeColor="background1" w:themeShade="80"/>
        <w:sz w:val="13"/>
        <w:szCs w:val="15"/>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5"/>
    </w:tblGrid>
    <w:tr w:rsidR="00DC580C" w:rsidRPr="00F94815" w14:paraId="11BAB547" w14:textId="77777777" w:rsidTr="007C05C6">
      <w:trPr>
        <w:trHeight w:val="276"/>
      </w:trPr>
      <w:tc>
        <w:tcPr>
          <w:tcW w:w="9781" w:type="dxa"/>
          <w:tcBorders>
            <w:bottom w:val="single" w:sz="4" w:space="0" w:color="auto"/>
          </w:tcBorders>
        </w:tcPr>
        <w:p w14:paraId="2765B8C4" w14:textId="52792321" w:rsidR="00565AC2" w:rsidRPr="00767D68" w:rsidRDefault="00565AC2" w:rsidP="00565AC2">
          <w:pPr>
            <w:pStyle w:val="Header"/>
            <w:jc w:val="center"/>
          </w:pPr>
          <w:r w:rsidRPr="00767D68">
            <w:t>Asian Journal of Applied Research for Community Development and Empowerment</w:t>
          </w:r>
          <w:r>
            <w:t xml:space="preserve">. </w:t>
          </w:r>
          <w:r w:rsidRPr="00767D68">
            <w:t xml:space="preserve">Vol </w:t>
          </w:r>
          <w:r w:rsidR="00B93AD6">
            <w:t xml:space="preserve">9 </w:t>
          </w:r>
          <w:r w:rsidRPr="00767D68">
            <w:t>(20</w:t>
          </w:r>
          <w:r w:rsidR="003E5B73">
            <w:t>2</w:t>
          </w:r>
          <w:r w:rsidR="00B93AD6">
            <w:t>5</w:t>
          </w:r>
          <w:r>
            <w:t>), No.</w:t>
          </w:r>
          <w:r w:rsidR="00B93AD6">
            <w:t>1</w:t>
          </w:r>
        </w:p>
        <w:p w14:paraId="2FDB78EC" w14:textId="046E0668" w:rsidR="00BA5793" w:rsidRPr="00D40B2A" w:rsidRDefault="00BA5793" w:rsidP="00A26AE5">
          <w:pPr>
            <w:pStyle w:val="Header"/>
            <w:jc w:val="center"/>
            <w:rPr>
              <w:rFonts w:cs="Times New Roman"/>
              <w:smallCaps/>
              <w:color w:val="808080" w:themeColor="background1" w:themeShade="80"/>
              <w:sz w:val="13"/>
              <w:szCs w:val="13"/>
            </w:rPr>
          </w:pPr>
        </w:p>
      </w:tc>
    </w:tr>
    <w:tr w:rsidR="00DC580C" w:rsidRPr="00F94815" w14:paraId="37E2DEAB" w14:textId="77777777" w:rsidTr="00565AC2">
      <w:trPr>
        <w:trHeight w:val="140"/>
      </w:trPr>
      <w:tc>
        <w:tcPr>
          <w:tcW w:w="9781" w:type="dxa"/>
          <w:tcBorders>
            <w:top w:val="single" w:sz="4" w:space="0" w:color="auto"/>
          </w:tcBorders>
        </w:tcPr>
        <w:p w14:paraId="42C91978" w14:textId="08B42F49" w:rsidR="00DC580C" w:rsidRPr="00F94815" w:rsidRDefault="00DC580C" w:rsidP="006776F7">
          <w:pPr>
            <w:pStyle w:val="Header"/>
            <w:jc w:val="center"/>
            <w:rPr>
              <w:rFonts w:cs="Times New Roman"/>
              <w:color w:val="808080" w:themeColor="background1" w:themeShade="80"/>
              <w:sz w:val="13"/>
            </w:rPr>
          </w:pPr>
        </w:p>
      </w:tc>
    </w:tr>
    <w:tr w:rsidR="00565AC2" w14:paraId="6BC89C95" w14:textId="77777777" w:rsidTr="00565AC2">
      <w:trPr>
        <w:trHeight w:val="1101"/>
      </w:trPr>
      <w:tc>
        <w:tcPr>
          <w:tcW w:w="9781" w:type="dxa"/>
          <w:vAlign w:val="center"/>
        </w:tcPr>
        <w:p w14:paraId="436744D6" w14:textId="019AB16D" w:rsidR="00565AC2" w:rsidRDefault="009F55C2" w:rsidP="006776F7">
          <w:pPr>
            <w:pStyle w:val="Header"/>
            <w:jc w:val="center"/>
          </w:pPr>
          <w:r w:rsidRPr="009F55C2">
            <w:rPr>
              <w:noProof/>
            </w:rPr>
            <w:drawing>
              <wp:inline distT="0" distB="0" distL="0" distR="0" wp14:anchorId="26954EA8" wp14:editId="48F75561">
                <wp:extent cx="6296025" cy="1421130"/>
                <wp:effectExtent l="0" t="0" r="9525" b="7620"/>
                <wp:docPr id="13" name="Picture 12">
                  <a:extLst xmlns:a="http://schemas.openxmlformats.org/drawingml/2006/main">
                    <a:ext uri="{FF2B5EF4-FFF2-40B4-BE49-F238E27FC236}">
                      <a16:creationId xmlns:a16="http://schemas.microsoft.com/office/drawing/2014/main" id="{137778A6-80CD-26BE-DED0-E406AF8D49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137778A6-80CD-26BE-DED0-E406AF8D490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296025" cy="1421130"/>
                        </a:xfrm>
                        <a:prstGeom prst="rect">
                          <a:avLst/>
                        </a:prstGeom>
                      </pic:spPr>
                    </pic:pic>
                  </a:graphicData>
                </a:graphic>
              </wp:inline>
            </w:drawing>
          </w:r>
        </w:p>
      </w:tc>
    </w:tr>
    <w:tr w:rsidR="00DC580C" w14:paraId="52554E62" w14:textId="77777777" w:rsidTr="00565AC2">
      <w:trPr>
        <w:trHeight w:val="97"/>
      </w:trPr>
      <w:tc>
        <w:tcPr>
          <w:tcW w:w="9781" w:type="dxa"/>
          <w:tcBorders>
            <w:bottom w:val="single" w:sz="24" w:space="0" w:color="auto"/>
          </w:tcBorders>
        </w:tcPr>
        <w:p w14:paraId="3BDE2D64" w14:textId="128F5FC5" w:rsidR="00565AC2" w:rsidRPr="000207F4" w:rsidRDefault="00565AC2" w:rsidP="00565AC2">
          <w:pPr>
            <w:tabs>
              <w:tab w:val="left" w:pos="426"/>
            </w:tabs>
            <w:jc w:val="center"/>
            <w:rPr>
              <w:rFonts w:cs="Times New Roman"/>
              <w:szCs w:val="28"/>
            </w:rPr>
          </w:pPr>
          <w:r w:rsidRPr="000207F4">
            <w:rPr>
              <w:rFonts w:cs="Times New Roman"/>
              <w:szCs w:val="28"/>
            </w:rPr>
            <w:t>Jo</w:t>
          </w:r>
          <w:r w:rsidR="00716A71">
            <w:rPr>
              <w:rFonts w:cs="Times New Roman"/>
              <w:szCs w:val="28"/>
            </w:rPr>
            <w:t>urnal home page: http://ajarcde-</w:t>
          </w:r>
          <w:r w:rsidRPr="000207F4">
            <w:rPr>
              <w:rFonts w:cs="Times New Roman"/>
              <w:szCs w:val="28"/>
            </w:rPr>
            <w:t>safe</w:t>
          </w:r>
          <w:r w:rsidR="00716A71">
            <w:rPr>
              <w:rFonts w:cs="Times New Roman"/>
              <w:szCs w:val="28"/>
            </w:rPr>
            <w:t>-network</w:t>
          </w:r>
          <w:r w:rsidRPr="000207F4">
            <w:rPr>
              <w:rFonts w:cs="Times New Roman"/>
              <w:szCs w:val="28"/>
            </w:rPr>
            <w:t>.org       ISSN 2581-0405</w:t>
          </w:r>
        </w:p>
        <w:p w14:paraId="0A2BEDFA" w14:textId="77777777" w:rsidR="00DC580C" w:rsidRPr="006421F8" w:rsidRDefault="00DC580C" w:rsidP="006776F7">
          <w:pPr>
            <w:pStyle w:val="Header"/>
            <w:rPr>
              <w:sz w:val="6"/>
            </w:rPr>
          </w:pPr>
        </w:p>
      </w:tc>
    </w:tr>
  </w:tbl>
  <w:p w14:paraId="43016F7D" w14:textId="27C6A764" w:rsidR="00DC580C" w:rsidRDefault="00DC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97880" w14:textId="0638637C" w:rsidR="000207F4" w:rsidRPr="000207F4" w:rsidRDefault="009938FA" w:rsidP="000207F4">
    <w:pPr>
      <w:pStyle w:val="Header"/>
      <w:jc w:val="center"/>
    </w:pPr>
    <w:bookmarkStart w:id="4" w:name="_Hlk184800427"/>
    <w:r w:rsidRPr="009938FA">
      <w:rPr>
        <w:rFonts w:cs="Times New Roman"/>
        <w:smallCaps/>
        <w:color w:val="808080" w:themeColor="background1" w:themeShade="80"/>
        <w:sz w:val="13"/>
        <w:szCs w:val="15"/>
      </w:rPr>
      <w:t>S</w:t>
    </w:r>
    <w:r>
      <w:rPr>
        <w:rFonts w:cs="Times New Roman"/>
        <w:smallCaps/>
        <w:color w:val="808080" w:themeColor="background1" w:themeShade="80"/>
        <w:sz w:val="13"/>
        <w:szCs w:val="15"/>
      </w:rPr>
      <w:t xml:space="preserve">. </w:t>
    </w:r>
    <w:proofErr w:type="spellStart"/>
    <w:r w:rsidRPr="009938FA">
      <w:rPr>
        <w:rFonts w:cs="Times New Roman"/>
        <w:smallCaps/>
        <w:color w:val="808080" w:themeColor="background1" w:themeShade="80"/>
        <w:sz w:val="13"/>
        <w:szCs w:val="15"/>
      </w:rPr>
      <w:t>Vongtanaboon</w:t>
    </w:r>
    <w:bookmarkEnd w:id="4"/>
    <w:proofErr w:type="spellEnd"/>
    <w:r w:rsidR="000207F4" w:rsidRPr="000207F4">
      <w:rPr>
        <w:rFonts w:cs="Times New Roman"/>
        <w:smallCaps/>
        <w:color w:val="808080" w:themeColor="background1" w:themeShade="80"/>
        <w:sz w:val="13"/>
        <w:szCs w:val="15"/>
      </w:rPr>
      <w:t xml:space="preserve">/Asian Journal of Applied Research for Community Development and Empowerment. Vol </w:t>
    </w:r>
    <w:r w:rsidR="00B93AD6">
      <w:rPr>
        <w:rFonts w:cs="Times New Roman"/>
        <w:smallCaps/>
        <w:color w:val="808080" w:themeColor="background1" w:themeShade="80"/>
        <w:sz w:val="13"/>
        <w:szCs w:val="15"/>
      </w:rPr>
      <w:t>9</w:t>
    </w:r>
    <w:r w:rsidR="000207F4" w:rsidRPr="000207F4">
      <w:rPr>
        <w:rFonts w:cs="Times New Roman"/>
        <w:smallCaps/>
        <w:color w:val="808080" w:themeColor="background1" w:themeShade="80"/>
        <w:sz w:val="13"/>
        <w:szCs w:val="15"/>
      </w:rPr>
      <w:t xml:space="preserve"> (20</w:t>
    </w:r>
    <w:r w:rsidR="00F8484D">
      <w:rPr>
        <w:rFonts w:cs="Times New Roman"/>
        <w:smallCaps/>
        <w:color w:val="808080" w:themeColor="background1" w:themeShade="80"/>
        <w:sz w:val="13"/>
        <w:szCs w:val="15"/>
      </w:rPr>
      <w:t>2</w:t>
    </w:r>
    <w:r w:rsidR="00B93AD6">
      <w:rPr>
        <w:rFonts w:cs="Times New Roman"/>
        <w:smallCaps/>
        <w:color w:val="808080" w:themeColor="background1" w:themeShade="80"/>
        <w:sz w:val="13"/>
        <w:szCs w:val="15"/>
      </w:rPr>
      <w:t>5</w:t>
    </w:r>
    <w:r w:rsidR="000207F4" w:rsidRPr="000207F4">
      <w:rPr>
        <w:rFonts w:cs="Times New Roman"/>
        <w:smallCaps/>
        <w:color w:val="808080" w:themeColor="background1" w:themeShade="80"/>
        <w:sz w:val="13"/>
        <w:szCs w:val="15"/>
      </w:rPr>
      <w:t>), No.</w:t>
    </w:r>
    <w:r w:rsidR="00B93AD6">
      <w:rPr>
        <w:rFonts w:cs="Times New Roman"/>
        <w:smallCaps/>
        <w:color w:val="808080" w:themeColor="background1" w:themeShade="80"/>
        <w:sz w:val="13"/>
        <w:szCs w:val="15"/>
      </w:rPr>
      <w:t>1</w:t>
    </w:r>
  </w:p>
  <w:p w14:paraId="21D9FED5" w14:textId="62995A58" w:rsidR="00D40B2A" w:rsidRPr="000207F4" w:rsidRDefault="009E63B5" w:rsidP="009E63B5">
    <w:pPr>
      <w:pStyle w:val="Header"/>
      <w:tabs>
        <w:tab w:val="clear" w:pos="4680"/>
        <w:tab w:val="clear" w:pos="9360"/>
        <w:tab w:val="left" w:pos="34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5204E492"/>
    <w:lvl w:ilvl="0">
      <w:start w:val="1"/>
      <w:numFmt w:val="decimal"/>
      <w:pStyle w:val="section"/>
      <w:suff w:val="space"/>
      <w:lvlText w:val="%1."/>
      <w:lvlJc w:val="left"/>
      <w:pPr>
        <w:ind w:left="5104" w:firstLine="0"/>
      </w:pPr>
      <w:rPr>
        <w:rFonts w:hint="default"/>
        <w:sz w:val="22"/>
      </w:rPr>
    </w:lvl>
    <w:lvl w:ilvl="1">
      <w:start w:val="1"/>
      <w:numFmt w:val="decimal"/>
      <w:lvlText w:val="3.%2"/>
      <w:lvlJc w:val="left"/>
      <w:pPr>
        <w:ind w:left="2268" w:firstLine="0"/>
      </w:pPr>
      <w:rPr>
        <w:rFonts w:hint="default"/>
        <w:lang w:val="en-GB"/>
      </w:rPr>
    </w:lvl>
    <w:lvl w:ilvl="2">
      <w:start w:val="1"/>
      <w:numFmt w:val="decimal"/>
      <w:pStyle w:val="subsubsection"/>
      <w:suff w:val="space"/>
      <w:lvlText w:val="%1.%2.%3."/>
      <w:lvlJc w:val="left"/>
      <w:pPr>
        <w:ind w:left="3261" w:hanging="851"/>
      </w:pPr>
      <w:rPr>
        <w:rFonts w:hint="default"/>
        <w:i/>
      </w:rPr>
    </w:lvl>
    <w:lvl w:ilvl="3">
      <w:start w:val="1"/>
      <w:numFmt w:val="decimal"/>
      <w:lvlText w:val="%1.%2.%3.%4."/>
      <w:lvlJc w:val="left"/>
      <w:pPr>
        <w:tabs>
          <w:tab w:val="left" w:pos="4068"/>
        </w:tabs>
        <w:ind w:left="3996" w:hanging="648"/>
      </w:pPr>
      <w:rPr>
        <w:rFonts w:hint="default"/>
      </w:rPr>
    </w:lvl>
    <w:lvl w:ilvl="4">
      <w:start w:val="1"/>
      <w:numFmt w:val="decimal"/>
      <w:lvlText w:val="%1.%2.%3.%4.%5."/>
      <w:lvlJc w:val="left"/>
      <w:pPr>
        <w:tabs>
          <w:tab w:val="left" w:pos="4788"/>
        </w:tabs>
        <w:ind w:left="4500" w:hanging="792"/>
      </w:pPr>
      <w:rPr>
        <w:rFonts w:hint="default"/>
      </w:rPr>
    </w:lvl>
    <w:lvl w:ilvl="5">
      <w:start w:val="1"/>
      <w:numFmt w:val="decimal"/>
      <w:lvlText w:val="%1.%2.%3.%4.%5.%6."/>
      <w:lvlJc w:val="left"/>
      <w:pPr>
        <w:tabs>
          <w:tab w:val="left" w:pos="5148"/>
        </w:tabs>
        <w:ind w:left="5004" w:hanging="936"/>
      </w:pPr>
      <w:rPr>
        <w:rFonts w:hint="default"/>
      </w:rPr>
    </w:lvl>
    <w:lvl w:ilvl="6">
      <w:start w:val="1"/>
      <w:numFmt w:val="decimal"/>
      <w:lvlText w:val="%1.%2.%3.%4.%5.%6.%7."/>
      <w:lvlJc w:val="left"/>
      <w:pPr>
        <w:tabs>
          <w:tab w:val="left" w:pos="5868"/>
        </w:tabs>
        <w:ind w:left="5508" w:hanging="1080"/>
      </w:pPr>
      <w:rPr>
        <w:rFonts w:hint="default"/>
      </w:rPr>
    </w:lvl>
    <w:lvl w:ilvl="7">
      <w:start w:val="1"/>
      <w:numFmt w:val="decimal"/>
      <w:lvlText w:val="%1.%2.%3.%4.%5.%6.%7.%8."/>
      <w:lvlJc w:val="left"/>
      <w:pPr>
        <w:tabs>
          <w:tab w:val="left" w:pos="6228"/>
        </w:tabs>
        <w:ind w:left="6012" w:hanging="1224"/>
      </w:pPr>
      <w:rPr>
        <w:rFonts w:hint="default"/>
      </w:rPr>
    </w:lvl>
    <w:lvl w:ilvl="8">
      <w:start w:val="1"/>
      <w:numFmt w:val="decimal"/>
      <w:lvlText w:val="%1.%2.%3.%4.%5.%6.%7.%8.%9."/>
      <w:lvlJc w:val="left"/>
      <w:pPr>
        <w:tabs>
          <w:tab w:val="left" w:pos="6948"/>
        </w:tabs>
        <w:ind w:left="6588" w:hanging="1440"/>
      </w:pPr>
      <w:rPr>
        <w:rFonts w:hint="default"/>
      </w:rPr>
    </w:lvl>
  </w:abstractNum>
  <w:abstractNum w:abstractNumId="1" w15:restartNumberingAfterBreak="0">
    <w:nsid w:val="0BA026D1"/>
    <w:multiLevelType w:val="hybridMultilevel"/>
    <w:tmpl w:val="2B4C7402"/>
    <w:lvl w:ilvl="0" w:tplc="531CC16E">
      <w:numFmt w:val="bullet"/>
      <w:lvlText w:val="•"/>
      <w:lvlJc w:val="left"/>
      <w:pPr>
        <w:ind w:left="786" w:hanging="360"/>
      </w:pPr>
      <w:rPr>
        <w:rFonts w:ascii="Times New Roman" w:eastAsiaTheme="minorHAnsi"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2" w15:restartNumberingAfterBreak="0">
    <w:nsid w:val="10DC762F"/>
    <w:multiLevelType w:val="hybridMultilevel"/>
    <w:tmpl w:val="5A328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886A28"/>
    <w:multiLevelType w:val="hybridMultilevel"/>
    <w:tmpl w:val="04440DE4"/>
    <w:lvl w:ilvl="0" w:tplc="731674DE">
      <w:start w:val="1"/>
      <w:numFmt w:val="decimal"/>
      <w:lvlText w:val="3.%1"/>
      <w:lvlJc w:val="left"/>
      <w:pPr>
        <w:ind w:left="1495"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5" w15:restartNumberingAfterBreak="0">
    <w:nsid w:val="274D74E4"/>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1850"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1D2FCC"/>
    <w:multiLevelType w:val="hybridMultilevel"/>
    <w:tmpl w:val="250A66F2"/>
    <w:lvl w:ilvl="0" w:tplc="04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7B14FF7"/>
    <w:multiLevelType w:val="hybridMultilevel"/>
    <w:tmpl w:val="EFD8C3DA"/>
    <w:lvl w:ilvl="0" w:tplc="4ECA1C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15:restartNumberingAfterBreak="0">
    <w:nsid w:val="39FA6DF6"/>
    <w:multiLevelType w:val="hybridMultilevel"/>
    <w:tmpl w:val="B100ECEE"/>
    <w:lvl w:ilvl="0" w:tplc="04210001">
      <w:start w:val="1"/>
      <w:numFmt w:val="bullet"/>
      <w:lvlText w:val=""/>
      <w:lvlJc w:val="left"/>
      <w:pPr>
        <w:ind w:left="1146" w:hanging="360"/>
      </w:pPr>
      <w:rPr>
        <w:rFonts w:ascii="Symbol" w:hAnsi="Symbol" w:hint="default"/>
      </w:rPr>
    </w:lvl>
    <w:lvl w:ilvl="1" w:tplc="04210003" w:tentative="1">
      <w:start w:val="1"/>
      <w:numFmt w:val="bullet"/>
      <w:lvlText w:val="o"/>
      <w:lvlJc w:val="left"/>
      <w:pPr>
        <w:ind w:left="1866" w:hanging="360"/>
      </w:pPr>
      <w:rPr>
        <w:rFonts w:ascii="Courier New" w:hAnsi="Courier New" w:cs="Courier New" w:hint="default"/>
      </w:rPr>
    </w:lvl>
    <w:lvl w:ilvl="2" w:tplc="04210005" w:tentative="1">
      <w:start w:val="1"/>
      <w:numFmt w:val="bullet"/>
      <w:lvlText w:val=""/>
      <w:lvlJc w:val="left"/>
      <w:pPr>
        <w:ind w:left="2586" w:hanging="360"/>
      </w:pPr>
      <w:rPr>
        <w:rFonts w:ascii="Wingdings" w:hAnsi="Wingdings" w:hint="default"/>
      </w:rPr>
    </w:lvl>
    <w:lvl w:ilvl="3" w:tplc="04210001" w:tentative="1">
      <w:start w:val="1"/>
      <w:numFmt w:val="bullet"/>
      <w:lvlText w:val=""/>
      <w:lvlJc w:val="left"/>
      <w:pPr>
        <w:ind w:left="3306" w:hanging="360"/>
      </w:pPr>
      <w:rPr>
        <w:rFonts w:ascii="Symbol" w:hAnsi="Symbol" w:hint="default"/>
      </w:rPr>
    </w:lvl>
    <w:lvl w:ilvl="4" w:tplc="04210003" w:tentative="1">
      <w:start w:val="1"/>
      <w:numFmt w:val="bullet"/>
      <w:lvlText w:val="o"/>
      <w:lvlJc w:val="left"/>
      <w:pPr>
        <w:ind w:left="4026" w:hanging="360"/>
      </w:pPr>
      <w:rPr>
        <w:rFonts w:ascii="Courier New" w:hAnsi="Courier New" w:cs="Courier New" w:hint="default"/>
      </w:rPr>
    </w:lvl>
    <w:lvl w:ilvl="5" w:tplc="04210005" w:tentative="1">
      <w:start w:val="1"/>
      <w:numFmt w:val="bullet"/>
      <w:lvlText w:val=""/>
      <w:lvlJc w:val="left"/>
      <w:pPr>
        <w:ind w:left="4746" w:hanging="360"/>
      </w:pPr>
      <w:rPr>
        <w:rFonts w:ascii="Wingdings" w:hAnsi="Wingdings" w:hint="default"/>
      </w:rPr>
    </w:lvl>
    <w:lvl w:ilvl="6" w:tplc="04210001" w:tentative="1">
      <w:start w:val="1"/>
      <w:numFmt w:val="bullet"/>
      <w:lvlText w:val=""/>
      <w:lvlJc w:val="left"/>
      <w:pPr>
        <w:ind w:left="5466" w:hanging="360"/>
      </w:pPr>
      <w:rPr>
        <w:rFonts w:ascii="Symbol" w:hAnsi="Symbol" w:hint="default"/>
      </w:rPr>
    </w:lvl>
    <w:lvl w:ilvl="7" w:tplc="04210003" w:tentative="1">
      <w:start w:val="1"/>
      <w:numFmt w:val="bullet"/>
      <w:lvlText w:val="o"/>
      <w:lvlJc w:val="left"/>
      <w:pPr>
        <w:ind w:left="6186" w:hanging="360"/>
      </w:pPr>
      <w:rPr>
        <w:rFonts w:ascii="Courier New" w:hAnsi="Courier New" w:cs="Courier New" w:hint="default"/>
      </w:rPr>
    </w:lvl>
    <w:lvl w:ilvl="8" w:tplc="04210005" w:tentative="1">
      <w:start w:val="1"/>
      <w:numFmt w:val="bullet"/>
      <w:lvlText w:val=""/>
      <w:lvlJc w:val="left"/>
      <w:pPr>
        <w:ind w:left="6906" w:hanging="360"/>
      </w:pPr>
      <w:rPr>
        <w:rFonts w:ascii="Wingdings" w:hAnsi="Wingdings" w:hint="default"/>
      </w:rPr>
    </w:lvl>
  </w:abstractNum>
  <w:abstractNum w:abstractNumId="12" w15:restartNumberingAfterBreak="0">
    <w:nsid w:val="4B4E405F"/>
    <w:multiLevelType w:val="hybridMultilevel"/>
    <w:tmpl w:val="041AC0A4"/>
    <w:lvl w:ilvl="0" w:tplc="04210001">
      <w:start w:val="1"/>
      <w:numFmt w:val="bullet"/>
      <w:lvlText w:val=""/>
      <w:lvlJc w:val="left"/>
      <w:pPr>
        <w:ind w:left="986" w:hanging="420"/>
      </w:pPr>
      <w:rPr>
        <w:rFonts w:ascii="Symbol" w:hAnsi="Symbol" w:hint="default"/>
      </w:rPr>
    </w:lvl>
    <w:lvl w:ilvl="1" w:tplc="04090003" w:tentative="1">
      <w:start w:val="1"/>
      <w:numFmt w:val="bullet"/>
      <w:lvlText w:val=""/>
      <w:lvlJc w:val="left"/>
      <w:pPr>
        <w:ind w:left="1406" w:hanging="420"/>
      </w:pPr>
      <w:rPr>
        <w:rFonts w:ascii="Wingdings" w:hAnsi="Wingdings" w:hint="default"/>
      </w:rPr>
    </w:lvl>
    <w:lvl w:ilvl="2" w:tplc="04090005"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3" w:tentative="1">
      <w:start w:val="1"/>
      <w:numFmt w:val="bullet"/>
      <w:lvlText w:val=""/>
      <w:lvlJc w:val="left"/>
      <w:pPr>
        <w:ind w:left="2666" w:hanging="420"/>
      </w:pPr>
      <w:rPr>
        <w:rFonts w:ascii="Wingdings" w:hAnsi="Wingdings" w:hint="default"/>
      </w:rPr>
    </w:lvl>
    <w:lvl w:ilvl="5" w:tplc="04090005"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3" w:tentative="1">
      <w:start w:val="1"/>
      <w:numFmt w:val="bullet"/>
      <w:lvlText w:val=""/>
      <w:lvlJc w:val="left"/>
      <w:pPr>
        <w:ind w:left="3926" w:hanging="420"/>
      </w:pPr>
      <w:rPr>
        <w:rFonts w:ascii="Wingdings" w:hAnsi="Wingdings" w:hint="default"/>
      </w:rPr>
    </w:lvl>
    <w:lvl w:ilvl="8" w:tplc="04090005" w:tentative="1">
      <w:start w:val="1"/>
      <w:numFmt w:val="bullet"/>
      <w:lvlText w:val=""/>
      <w:lvlJc w:val="left"/>
      <w:pPr>
        <w:ind w:left="4346" w:hanging="420"/>
      </w:pPr>
      <w:rPr>
        <w:rFonts w:ascii="Wingdings" w:hAnsi="Wingdings" w:hint="default"/>
      </w:rPr>
    </w:lvl>
  </w:abstractNum>
  <w:abstractNum w:abstractNumId="13" w15:restartNumberingAfterBreak="0">
    <w:nsid w:val="4B873C50"/>
    <w:multiLevelType w:val="multilevel"/>
    <w:tmpl w:val="F74499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FD5DC3"/>
    <w:multiLevelType w:val="multilevel"/>
    <w:tmpl w:val="7704309A"/>
    <w:lvl w:ilvl="0">
      <w:start w:val="1"/>
      <w:numFmt w:val="decimal"/>
      <w:pStyle w:val="AJARCDE-Reference"/>
      <w:lvlText w:val="[%1]"/>
      <w:lvlJc w:val="left"/>
      <w:pPr>
        <w:ind w:left="2204" w:hanging="360"/>
      </w:pPr>
      <w:rPr>
        <w:rFonts w:hint="default"/>
        <w:b w:val="0"/>
        <w:bCs/>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num w:numId="1" w16cid:durableId="546995731">
    <w:abstractNumId w:val="14"/>
  </w:num>
  <w:num w:numId="2" w16cid:durableId="1750035948">
    <w:abstractNumId w:val="7"/>
  </w:num>
  <w:num w:numId="3" w16cid:durableId="471363517">
    <w:abstractNumId w:val="16"/>
  </w:num>
  <w:num w:numId="4" w16cid:durableId="201096595">
    <w:abstractNumId w:val="6"/>
  </w:num>
  <w:num w:numId="5" w16cid:durableId="2099011969">
    <w:abstractNumId w:val="3"/>
  </w:num>
  <w:num w:numId="6" w16cid:durableId="318577265">
    <w:abstractNumId w:val="8"/>
  </w:num>
  <w:num w:numId="7" w16cid:durableId="1148129589">
    <w:abstractNumId w:val="15"/>
  </w:num>
  <w:num w:numId="8" w16cid:durableId="182864767">
    <w:abstractNumId w:val="17"/>
  </w:num>
  <w:num w:numId="9" w16cid:durableId="2081323307">
    <w:abstractNumId w:val="0"/>
  </w:num>
  <w:num w:numId="10" w16cid:durableId="904412682">
    <w:abstractNumId w:val="11"/>
  </w:num>
  <w:num w:numId="11" w16cid:durableId="728185049">
    <w:abstractNumId w:val="1"/>
  </w:num>
  <w:num w:numId="12" w16cid:durableId="152381326">
    <w:abstractNumId w:val="10"/>
  </w:num>
  <w:num w:numId="13" w16cid:durableId="335159703">
    <w:abstractNumId w:val="4"/>
  </w:num>
  <w:num w:numId="14" w16cid:durableId="377555533">
    <w:abstractNumId w:val="5"/>
  </w:num>
  <w:num w:numId="15" w16cid:durableId="501967987">
    <w:abstractNumId w:val="12"/>
  </w:num>
  <w:num w:numId="16" w16cid:durableId="286547064">
    <w:abstractNumId w:val="13"/>
  </w:num>
  <w:num w:numId="17" w16cid:durableId="1985430652">
    <w:abstractNumId w:val="2"/>
  </w:num>
  <w:num w:numId="18" w16cid:durableId="15376921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C0tDAztTQzNbU0MbFU0lEKTi0uzszPAykwrgUAbM2bKCwAAAA="/>
  </w:docVars>
  <w:rsids>
    <w:rsidRoot w:val="00F94815"/>
    <w:rsid w:val="00001D06"/>
    <w:rsid w:val="000068BB"/>
    <w:rsid w:val="00007316"/>
    <w:rsid w:val="000141A9"/>
    <w:rsid w:val="000207F4"/>
    <w:rsid w:val="00024C18"/>
    <w:rsid w:val="00035BCD"/>
    <w:rsid w:val="00052457"/>
    <w:rsid w:val="000579B9"/>
    <w:rsid w:val="00061D7D"/>
    <w:rsid w:val="000742D4"/>
    <w:rsid w:val="000749B2"/>
    <w:rsid w:val="00084DA2"/>
    <w:rsid w:val="00086A27"/>
    <w:rsid w:val="00091CA6"/>
    <w:rsid w:val="00093CFF"/>
    <w:rsid w:val="0009542E"/>
    <w:rsid w:val="000B57D0"/>
    <w:rsid w:val="000B74FA"/>
    <w:rsid w:val="000C2FCD"/>
    <w:rsid w:val="000C3B27"/>
    <w:rsid w:val="000E0258"/>
    <w:rsid w:val="000E31F0"/>
    <w:rsid w:val="000E3E5F"/>
    <w:rsid w:val="000F0688"/>
    <w:rsid w:val="00101179"/>
    <w:rsid w:val="00101E18"/>
    <w:rsid w:val="00112A22"/>
    <w:rsid w:val="001415BD"/>
    <w:rsid w:val="0014272D"/>
    <w:rsid w:val="0014554F"/>
    <w:rsid w:val="0015324A"/>
    <w:rsid w:val="001702B9"/>
    <w:rsid w:val="00173350"/>
    <w:rsid w:val="001824E5"/>
    <w:rsid w:val="00191BF0"/>
    <w:rsid w:val="00191C2F"/>
    <w:rsid w:val="00193642"/>
    <w:rsid w:val="001A0587"/>
    <w:rsid w:val="001D3E1E"/>
    <w:rsid w:val="001F6096"/>
    <w:rsid w:val="0020458C"/>
    <w:rsid w:val="002066AC"/>
    <w:rsid w:val="00210BCC"/>
    <w:rsid w:val="0021148E"/>
    <w:rsid w:val="00211D3C"/>
    <w:rsid w:val="002122FF"/>
    <w:rsid w:val="00214D89"/>
    <w:rsid w:val="00220193"/>
    <w:rsid w:val="002241BD"/>
    <w:rsid w:val="002430FA"/>
    <w:rsid w:val="00247C7B"/>
    <w:rsid w:val="00252FF6"/>
    <w:rsid w:val="00256509"/>
    <w:rsid w:val="00270483"/>
    <w:rsid w:val="00271758"/>
    <w:rsid w:val="00272DC6"/>
    <w:rsid w:val="00282CB7"/>
    <w:rsid w:val="00286A84"/>
    <w:rsid w:val="002903E7"/>
    <w:rsid w:val="00291594"/>
    <w:rsid w:val="00296957"/>
    <w:rsid w:val="002A151E"/>
    <w:rsid w:val="002C3463"/>
    <w:rsid w:val="002D048B"/>
    <w:rsid w:val="002D0629"/>
    <w:rsid w:val="002D7DC8"/>
    <w:rsid w:val="002F6156"/>
    <w:rsid w:val="00303ACB"/>
    <w:rsid w:val="003101AC"/>
    <w:rsid w:val="00313D5F"/>
    <w:rsid w:val="00321C9B"/>
    <w:rsid w:val="00325552"/>
    <w:rsid w:val="003262DB"/>
    <w:rsid w:val="003327FD"/>
    <w:rsid w:val="0034241E"/>
    <w:rsid w:val="00350EEE"/>
    <w:rsid w:val="00352BD6"/>
    <w:rsid w:val="00356858"/>
    <w:rsid w:val="00360D4D"/>
    <w:rsid w:val="00376A9F"/>
    <w:rsid w:val="0037763D"/>
    <w:rsid w:val="003A0B3F"/>
    <w:rsid w:val="003B0FB3"/>
    <w:rsid w:val="003C494E"/>
    <w:rsid w:val="003D5344"/>
    <w:rsid w:val="003E1D17"/>
    <w:rsid w:val="003E2789"/>
    <w:rsid w:val="003E43EF"/>
    <w:rsid w:val="003E5B73"/>
    <w:rsid w:val="003F3F13"/>
    <w:rsid w:val="003F42CA"/>
    <w:rsid w:val="00405CA9"/>
    <w:rsid w:val="0040788C"/>
    <w:rsid w:val="00413AF5"/>
    <w:rsid w:val="004143C8"/>
    <w:rsid w:val="00415A10"/>
    <w:rsid w:val="004201F1"/>
    <w:rsid w:val="0042365F"/>
    <w:rsid w:val="00425743"/>
    <w:rsid w:val="00445CF9"/>
    <w:rsid w:val="00446482"/>
    <w:rsid w:val="004527D9"/>
    <w:rsid w:val="00454BF1"/>
    <w:rsid w:val="004600A5"/>
    <w:rsid w:val="00460C90"/>
    <w:rsid w:val="0047363D"/>
    <w:rsid w:val="00477282"/>
    <w:rsid w:val="00482458"/>
    <w:rsid w:val="00484E4D"/>
    <w:rsid w:val="00486B83"/>
    <w:rsid w:val="00487513"/>
    <w:rsid w:val="0049200C"/>
    <w:rsid w:val="004A5AB1"/>
    <w:rsid w:val="004A7508"/>
    <w:rsid w:val="004C3CFE"/>
    <w:rsid w:val="004D1A9F"/>
    <w:rsid w:val="004D23AC"/>
    <w:rsid w:val="004D5B13"/>
    <w:rsid w:val="004E0E80"/>
    <w:rsid w:val="004E230E"/>
    <w:rsid w:val="004E2DD5"/>
    <w:rsid w:val="004E4E4C"/>
    <w:rsid w:val="004E6AF5"/>
    <w:rsid w:val="004E7B7A"/>
    <w:rsid w:val="004F3DCD"/>
    <w:rsid w:val="00502B67"/>
    <w:rsid w:val="00506ECF"/>
    <w:rsid w:val="005156D2"/>
    <w:rsid w:val="005228A2"/>
    <w:rsid w:val="00523E61"/>
    <w:rsid w:val="00524925"/>
    <w:rsid w:val="00565AC2"/>
    <w:rsid w:val="00567934"/>
    <w:rsid w:val="00581990"/>
    <w:rsid w:val="0058323F"/>
    <w:rsid w:val="00596CB5"/>
    <w:rsid w:val="005A3270"/>
    <w:rsid w:val="005A3E85"/>
    <w:rsid w:val="005A6A21"/>
    <w:rsid w:val="005C1634"/>
    <w:rsid w:val="005C5B39"/>
    <w:rsid w:val="005C7C63"/>
    <w:rsid w:val="005D2DF7"/>
    <w:rsid w:val="005D4A61"/>
    <w:rsid w:val="005D6743"/>
    <w:rsid w:val="005D6978"/>
    <w:rsid w:val="00611097"/>
    <w:rsid w:val="00612A25"/>
    <w:rsid w:val="00621DD3"/>
    <w:rsid w:val="0062642A"/>
    <w:rsid w:val="006421F8"/>
    <w:rsid w:val="00646439"/>
    <w:rsid w:val="00653CA0"/>
    <w:rsid w:val="00657049"/>
    <w:rsid w:val="00657896"/>
    <w:rsid w:val="00677457"/>
    <w:rsid w:val="0068183D"/>
    <w:rsid w:val="00682689"/>
    <w:rsid w:val="00683A6E"/>
    <w:rsid w:val="00684667"/>
    <w:rsid w:val="00686084"/>
    <w:rsid w:val="00687377"/>
    <w:rsid w:val="006908BA"/>
    <w:rsid w:val="00696EF2"/>
    <w:rsid w:val="006B1889"/>
    <w:rsid w:val="006B78D8"/>
    <w:rsid w:val="006C21AE"/>
    <w:rsid w:val="006C2D45"/>
    <w:rsid w:val="006C40EF"/>
    <w:rsid w:val="006C5AFA"/>
    <w:rsid w:val="006D072C"/>
    <w:rsid w:val="006D5E8B"/>
    <w:rsid w:val="006D721A"/>
    <w:rsid w:val="006E29D6"/>
    <w:rsid w:val="006E4F8F"/>
    <w:rsid w:val="006F1EB9"/>
    <w:rsid w:val="006F1F37"/>
    <w:rsid w:val="006F215E"/>
    <w:rsid w:val="00702594"/>
    <w:rsid w:val="007045D3"/>
    <w:rsid w:val="00705AD6"/>
    <w:rsid w:val="007072CB"/>
    <w:rsid w:val="00707981"/>
    <w:rsid w:val="007107A6"/>
    <w:rsid w:val="00712086"/>
    <w:rsid w:val="00712464"/>
    <w:rsid w:val="00716A71"/>
    <w:rsid w:val="007220CD"/>
    <w:rsid w:val="00733128"/>
    <w:rsid w:val="0074149A"/>
    <w:rsid w:val="0074171C"/>
    <w:rsid w:val="00750DF5"/>
    <w:rsid w:val="00754AA5"/>
    <w:rsid w:val="00755940"/>
    <w:rsid w:val="00756B91"/>
    <w:rsid w:val="00766C16"/>
    <w:rsid w:val="00781F00"/>
    <w:rsid w:val="0079726A"/>
    <w:rsid w:val="007A129A"/>
    <w:rsid w:val="007C05C6"/>
    <w:rsid w:val="007C1C74"/>
    <w:rsid w:val="007C4065"/>
    <w:rsid w:val="007C706F"/>
    <w:rsid w:val="007D7E58"/>
    <w:rsid w:val="007E3130"/>
    <w:rsid w:val="007E4CE4"/>
    <w:rsid w:val="007F28C6"/>
    <w:rsid w:val="007F3B5E"/>
    <w:rsid w:val="007F55A2"/>
    <w:rsid w:val="0080056D"/>
    <w:rsid w:val="00805441"/>
    <w:rsid w:val="00814069"/>
    <w:rsid w:val="0081737A"/>
    <w:rsid w:val="0082656F"/>
    <w:rsid w:val="00833D3A"/>
    <w:rsid w:val="008360E0"/>
    <w:rsid w:val="00836C54"/>
    <w:rsid w:val="00841E0D"/>
    <w:rsid w:val="00844C50"/>
    <w:rsid w:val="00846DB3"/>
    <w:rsid w:val="00863B5B"/>
    <w:rsid w:val="00887C21"/>
    <w:rsid w:val="008923E2"/>
    <w:rsid w:val="008A115C"/>
    <w:rsid w:val="008B5272"/>
    <w:rsid w:val="008B6757"/>
    <w:rsid w:val="008C33BB"/>
    <w:rsid w:val="008C3F0D"/>
    <w:rsid w:val="008C5B1F"/>
    <w:rsid w:val="008C6870"/>
    <w:rsid w:val="008D2275"/>
    <w:rsid w:val="008D78AC"/>
    <w:rsid w:val="008E1FA1"/>
    <w:rsid w:val="008E38DA"/>
    <w:rsid w:val="008E7F02"/>
    <w:rsid w:val="009045A4"/>
    <w:rsid w:val="00913596"/>
    <w:rsid w:val="009154A4"/>
    <w:rsid w:val="00917E26"/>
    <w:rsid w:val="00926D08"/>
    <w:rsid w:val="00930770"/>
    <w:rsid w:val="00934CA6"/>
    <w:rsid w:val="00956ED4"/>
    <w:rsid w:val="00981DEE"/>
    <w:rsid w:val="00984595"/>
    <w:rsid w:val="009927D5"/>
    <w:rsid w:val="009938FA"/>
    <w:rsid w:val="00995904"/>
    <w:rsid w:val="009A20B8"/>
    <w:rsid w:val="009B2215"/>
    <w:rsid w:val="009B5205"/>
    <w:rsid w:val="009C2F97"/>
    <w:rsid w:val="009C3F8F"/>
    <w:rsid w:val="009D12B7"/>
    <w:rsid w:val="009D4184"/>
    <w:rsid w:val="009E63B5"/>
    <w:rsid w:val="009F29DB"/>
    <w:rsid w:val="009F55C2"/>
    <w:rsid w:val="009F773D"/>
    <w:rsid w:val="00A022D2"/>
    <w:rsid w:val="00A144A9"/>
    <w:rsid w:val="00A20F3D"/>
    <w:rsid w:val="00A2350F"/>
    <w:rsid w:val="00A26AE5"/>
    <w:rsid w:val="00A26FF4"/>
    <w:rsid w:val="00A35ECB"/>
    <w:rsid w:val="00A52A7A"/>
    <w:rsid w:val="00A73D63"/>
    <w:rsid w:val="00A8713D"/>
    <w:rsid w:val="00A959D8"/>
    <w:rsid w:val="00AA5976"/>
    <w:rsid w:val="00AB3D9A"/>
    <w:rsid w:val="00AB7835"/>
    <w:rsid w:val="00AE3597"/>
    <w:rsid w:val="00AF349B"/>
    <w:rsid w:val="00B05173"/>
    <w:rsid w:val="00B05A05"/>
    <w:rsid w:val="00B16517"/>
    <w:rsid w:val="00B17EF5"/>
    <w:rsid w:val="00B218F2"/>
    <w:rsid w:val="00B24A7F"/>
    <w:rsid w:val="00B26E1A"/>
    <w:rsid w:val="00B275B5"/>
    <w:rsid w:val="00B37729"/>
    <w:rsid w:val="00B459BC"/>
    <w:rsid w:val="00B5061E"/>
    <w:rsid w:val="00B613FD"/>
    <w:rsid w:val="00B92F5A"/>
    <w:rsid w:val="00B93AD6"/>
    <w:rsid w:val="00BA1DFD"/>
    <w:rsid w:val="00BA4BCE"/>
    <w:rsid w:val="00BA5793"/>
    <w:rsid w:val="00BB6ECE"/>
    <w:rsid w:val="00BD1602"/>
    <w:rsid w:val="00BE2C85"/>
    <w:rsid w:val="00BE4BE0"/>
    <w:rsid w:val="00BF7763"/>
    <w:rsid w:val="00C0776A"/>
    <w:rsid w:val="00C113CF"/>
    <w:rsid w:val="00C25149"/>
    <w:rsid w:val="00C318F3"/>
    <w:rsid w:val="00C35F46"/>
    <w:rsid w:val="00C37BEE"/>
    <w:rsid w:val="00C439F1"/>
    <w:rsid w:val="00C43E9A"/>
    <w:rsid w:val="00C440A5"/>
    <w:rsid w:val="00C56E09"/>
    <w:rsid w:val="00C61DEB"/>
    <w:rsid w:val="00C82579"/>
    <w:rsid w:val="00C83AB0"/>
    <w:rsid w:val="00C8538D"/>
    <w:rsid w:val="00C86276"/>
    <w:rsid w:val="00C872AA"/>
    <w:rsid w:val="00C94772"/>
    <w:rsid w:val="00C95005"/>
    <w:rsid w:val="00CC44A0"/>
    <w:rsid w:val="00CD044C"/>
    <w:rsid w:val="00CD43E7"/>
    <w:rsid w:val="00CD73D6"/>
    <w:rsid w:val="00CE415E"/>
    <w:rsid w:val="00CF79E8"/>
    <w:rsid w:val="00D23343"/>
    <w:rsid w:val="00D24947"/>
    <w:rsid w:val="00D24B1E"/>
    <w:rsid w:val="00D27F97"/>
    <w:rsid w:val="00D349FF"/>
    <w:rsid w:val="00D3744C"/>
    <w:rsid w:val="00D40B2A"/>
    <w:rsid w:val="00D55421"/>
    <w:rsid w:val="00D6056B"/>
    <w:rsid w:val="00D704EE"/>
    <w:rsid w:val="00D74137"/>
    <w:rsid w:val="00D7510A"/>
    <w:rsid w:val="00D76ADF"/>
    <w:rsid w:val="00D94346"/>
    <w:rsid w:val="00D97477"/>
    <w:rsid w:val="00DB0033"/>
    <w:rsid w:val="00DB20EB"/>
    <w:rsid w:val="00DC2B43"/>
    <w:rsid w:val="00DC547B"/>
    <w:rsid w:val="00DC580C"/>
    <w:rsid w:val="00DD237A"/>
    <w:rsid w:val="00DE2EF3"/>
    <w:rsid w:val="00DE426B"/>
    <w:rsid w:val="00E00B9F"/>
    <w:rsid w:val="00E01349"/>
    <w:rsid w:val="00E015E4"/>
    <w:rsid w:val="00E053BA"/>
    <w:rsid w:val="00E159FF"/>
    <w:rsid w:val="00E222B2"/>
    <w:rsid w:val="00E31D83"/>
    <w:rsid w:val="00E336C8"/>
    <w:rsid w:val="00E37D34"/>
    <w:rsid w:val="00E41749"/>
    <w:rsid w:val="00E4657D"/>
    <w:rsid w:val="00E52ABF"/>
    <w:rsid w:val="00E553D8"/>
    <w:rsid w:val="00E755FE"/>
    <w:rsid w:val="00E86BE6"/>
    <w:rsid w:val="00E876C1"/>
    <w:rsid w:val="00E911C4"/>
    <w:rsid w:val="00EA07A3"/>
    <w:rsid w:val="00EC0BA9"/>
    <w:rsid w:val="00EC3CB4"/>
    <w:rsid w:val="00EC706F"/>
    <w:rsid w:val="00ED0CAC"/>
    <w:rsid w:val="00EE34F8"/>
    <w:rsid w:val="00EE7260"/>
    <w:rsid w:val="00EE77FF"/>
    <w:rsid w:val="00F32596"/>
    <w:rsid w:val="00F36F5E"/>
    <w:rsid w:val="00F434DB"/>
    <w:rsid w:val="00F4645E"/>
    <w:rsid w:val="00F81452"/>
    <w:rsid w:val="00F8484D"/>
    <w:rsid w:val="00F86921"/>
    <w:rsid w:val="00F94815"/>
    <w:rsid w:val="00FC32FB"/>
    <w:rsid w:val="00FC4C0D"/>
    <w:rsid w:val="00FD0973"/>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62FA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aliases w:val="AJACDE-Heading 1"/>
    <w:basedOn w:val="Normal"/>
    <w:next w:val="Normal"/>
    <w:link w:val="Heading1Char"/>
    <w:uiPriority w:val="9"/>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aliases w:val="AJARCDE-Heading2"/>
    <w:basedOn w:val="Heading1"/>
    <w:next w:val="Normal"/>
    <w:link w:val="Heading2Char"/>
    <w:uiPriority w:val="9"/>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iPriority w:val="9"/>
    <w:unhideWhenUsed/>
    <w:qFormat/>
    <w:rsid w:val="004527D9"/>
    <w:pPr>
      <w:numPr>
        <w:ilvl w:val="2"/>
      </w:numPr>
      <w:ind w:left="720" w:hanging="720"/>
      <w:outlineLvl w:val="2"/>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4815"/>
    <w:pPr>
      <w:tabs>
        <w:tab w:val="center" w:pos="4680"/>
        <w:tab w:val="right" w:pos="9360"/>
      </w:tabs>
    </w:pPr>
  </w:style>
  <w:style w:type="character" w:customStyle="1" w:styleId="HeaderChar">
    <w:name w:val="Header Char"/>
    <w:basedOn w:val="DefaultParagraphFont"/>
    <w:link w:val="Header"/>
    <w:uiPriority w:val="99"/>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qFormat/>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aliases w:val="Title AJARCDE"/>
    <w:basedOn w:val="Normal"/>
    <w:next w:val="Normal"/>
    <w:link w:val="TitleChar"/>
    <w:uiPriority w:val="10"/>
    <w:qFormat/>
    <w:rsid w:val="00445CF9"/>
    <w:pPr>
      <w:spacing w:before="120" w:after="120"/>
      <w:contextualSpacing/>
    </w:pPr>
    <w:rPr>
      <w:rFonts w:eastAsiaTheme="majorEastAsia" w:cstheme="majorBidi"/>
      <w:spacing w:val="-10"/>
      <w:kern w:val="28"/>
      <w:sz w:val="32"/>
      <w:szCs w:val="56"/>
    </w:rPr>
  </w:style>
  <w:style w:type="character" w:customStyle="1" w:styleId="TitleChar">
    <w:name w:val="Title Char"/>
    <w:aliases w:val="Title AJARCDE Char"/>
    <w:basedOn w:val="DefaultParagraphFont"/>
    <w:link w:val="Title"/>
    <w:uiPriority w:val="10"/>
    <w:rsid w:val="00445CF9"/>
    <w:rPr>
      <w:rFonts w:ascii="Times New Roman" w:eastAsiaTheme="majorEastAsia" w:hAnsi="Times New Roman" w:cstheme="majorBidi"/>
      <w:spacing w:val="-10"/>
      <w:kern w:val="28"/>
      <w:sz w:val="32"/>
      <w:szCs w:val="56"/>
    </w:rPr>
  </w:style>
  <w:style w:type="paragraph" w:customStyle="1" w:styleId="AJARCDE-Authors">
    <w:name w:val="AJARCDE-Authors"/>
    <w:basedOn w:val="Normal"/>
    <w:next w:val="Normal"/>
    <w:qFormat/>
    <w:rsid w:val="00DC580C"/>
    <w:pPr>
      <w:spacing w:before="120" w:after="120"/>
    </w:pPr>
    <w:rPr>
      <w:rFonts w:cs="Times New Roman"/>
      <w:i/>
      <w:sz w:val="24"/>
    </w:rPr>
  </w:style>
  <w:style w:type="paragraph" w:customStyle="1" w:styleId="AJARCDE-Affiliation">
    <w:name w:val="AJARCDE-Affiliation"/>
    <w:basedOn w:val="Normal"/>
    <w:next w:val="Normal"/>
    <w:qFormat/>
    <w:rsid w:val="00DC580C"/>
    <w:rPr>
      <w:i/>
      <w:sz w:val="16"/>
      <w:szCs w:val="18"/>
    </w:rPr>
  </w:style>
  <w:style w:type="paragraph" w:customStyle="1" w:styleId="AJARCDE-Abstract">
    <w:name w:val="AJARCDE-Abstract"/>
    <w:basedOn w:val="Normal"/>
    <w:next w:val="Normal"/>
    <w:qFormat/>
    <w:rsid w:val="00445CF9"/>
    <w:pPr>
      <w:spacing w:before="120" w:after="120"/>
    </w:pPr>
    <w:rPr>
      <w:sz w:val="16"/>
    </w:rPr>
  </w:style>
  <w:style w:type="character" w:customStyle="1" w:styleId="Heading1Char">
    <w:name w:val="Heading 1 Char"/>
    <w:aliases w:val="AJACDE-Heading 1 Char"/>
    <w:basedOn w:val="DefaultParagraphFont"/>
    <w:link w:val="Heading1"/>
    <w:uiPriority w:val="9"/>
    <w:rsid w:val="003F3F13"/>
    <w:rPr>
      <w:rFonts w:ascii="Times New Roman" w:eastAsiaTheme="majorEastAsia" w:hAnsi="Times New Roman" w:cstheme="majorBidi"/>
      <w:b/>
      <w:bCs/>
      <w:sz w:val="21"/>
      <w:szCs w:val="32"/>
      <w:lang w:val="id-ID"/>
    </w:rPr>
  </w:style>
  <w:style w:type="character" w:customStyle="1" w:styleId="Heading2Char">
    <w:name w:val="Heading 2 Char"/>
    <w:aliases w:val="AJARCDE-Heading2 Char"/>
    <w:basedOn w:val="DefaultParagraphFont"/>
    <w:link w:val="Heading2"/>
    <w:uiPriority w:val="9"/>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uiPriority w:val="9"/>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uiPriority w:val="34"/>
    <w:qFormat/>
    <w:rsid w:val="00B16517"/>
    <w:pPr>
      <w:ind w:left="720"/>
      <w:contextualSpacing/>
    </w:pPr>
  </w:style>
  <w:style w:type="paragraph" w:customStyle="1" w:styleId="subsection">
    <w:name w:val="subsection"/>
    <w:rsid w:val="00E00B9F"/>
    <w:pPr>
      <w:tabs>
        <w:tab w:val="left" w:pos="567"/>
      </w:tabs>
      <w:spacing w:before="240"/>
    </w:pPr>
    <w:rPr>
      <w:rFonts w:ascii="Times" w:eastAsia="Times New Roman" w:hAnsi="Times" w:cs="Times New Roman"/>
      <w:i/>
      <w:iCs/>
      <w:color w:val="000000"/>
      <w:sz w:val="22"/>
      <w:szCs w:val="22"/>
    </w:rPr>
  </w:style>
  <w:style w:type="paragraph" w:customStyle="1" w:styleId="AJARCDE-Reference">
    <w:name w:val="AJARCDE-Reference"/>
    <w:basedOn w:val="Normal"/>
    <w:qFormat/>
    <w:rsid w:val="00687377"/>
    <w:pPr>
      <w:numPr>
        <w:numId w:val="8"/>
      </w:numPr>
      <w:autoSpaceDE w:val="0"/>
      <w:autoSpaceDN w:val="0"/>
      <w:adjustRightInd w:val="0"/>
      <w:spacing w:line="240" w:lineRule="auto"/>
      <w:ind w:left="567" w:hanging="567"/>
    </w:pPr>
    <w:rPr>
      <w:rFonts w:eastAsia="Times New Roman" w:cs="Times New Roman"/>
      <w:color w:val="000000"/>
      <w:szCs w:val="22"/>
      <w:lang w:val="id-ID" w:eastAsia="id-ID"/>
    </w:rPr>
  </w:style>
  <w:style w:type="paragraph" w:styleId="BalloonText">
    <w:name w:val="Balloon Text"/>
    <w:basedOn w:val="Normal"/>
    <w:link w:val="BalloonTextChar"/>
    <w:uiPriority w:val="99"/>
    <w:semiHidden/>
    <w:unhideWhenUsed/>
    <w:rsid w:val="000207F4"/>
    <w:pPr>
      <w:spacing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07F4"/>
    <w:rPr>
      <w:rFonts w:ascii="Segoe UI" w:hAnsi="Segoe UI" w:cs="Segoe UI"/>
      <w:sz w:val="18"/>
      <w:szCs w:val="18"/>
    </w:rPr>
  </w:style>
  <w:style w:type="paragraph" w:customStyle="1" w:styleId="section">
    <w:name w:val="section"/>
    <w:link w:val="sectionChar"/>
    <w:rsid w:val="000207F4"/>
    <w:pPr>
      <w:numPr>
        <w:numId w:val="9"/>
      </w:numPr>
      <w:tabs>
        <w:tab w:val="left" w:pos="567"/>
      </w:tabs>
      <w:spacing w:before="240"/>
      <w:ind w:left="0"/>
    </w:pPr>
    <w:rPr>
      <w:rFonts w:ascii="Times" w:eastAsia="Times New Roman" w:hAnsi="Times" w:cs="Times New Roman"/>
      <w:b/>
      <w:color w:val="000000"/>
      <w:sz w:val="22"/>
      <w:szCs w:val="22"/>
      <w:lang w:val="en-GB"/>
    </w:rPr>
  </w:style>
  <w:style w:type="paragraph" w:customStyle="1" w:styleId="subsubsection">
    <w:name w:val="subsubsection"/>
    <w:rsid w:val="000207F4"/>
    <w:pPr>
      <w:numPr>
        <w:ilvl w:val="2"/>
        <w:numId w:val="9"/>
      </w:numPr>
      <w:tabs>
        <w:tab w:val="left" w:pos="567"/>
      </w:tabs>
      <w:spacing w:before="240"/>
      <w:ind w:left="0" w:firstLine="0"/>
      <w:jc w:val="both"/>
    </w:pPr>
    <w:rPr>
      <w:rFonts w:ascii="Times" w:eastAsia="Times New Roman" w:hAnsi="Times" w:cs="Times New Roman"/>
      <w:i/>
      <w:iCs/>
      <w:color w:val="000000"/>
      <w:sz w:val="22"/>
      <w:szCs w:val="22"/>
    </w:rPr>
  </w:style>
  <w:style w:type="character" w:customStyle="1" w:styleId="sectionChar">
    <w:name w:val="section Char"/>
    <w:link w:val="section"/>
    <w:rsid w:val="000207F4"/>
    <w:rPr>
      <w:rFonts w:ascii="Times" w:eastAsia="Times New Roman" w:hAnsi="Times" w:cs="Times New Roman"/>
      <w:b/>
      <w:color w:val="000000"/>
      <w:sz w:val="22"/>
      <w:szCs w:val="22"/>
      <w:lang w:val="en-GB"/>
    </w:rPr>
  </w:style>
  <w:style w:type="paragraph" w:customStyle="1" w:styleId="AJARCDE-Paragraph">
    <w:name w:val="AJARCDE-Paragraph"/>
    <w:basedOn w:val="Normal"/>
    <w:qFormat/>
    <w:rsid w:val="00D94346"/>
    <w:pPr>
      <w:ind w:firstLine="284"/>
    </w:pPr>
    <w:rPr>
      <w:lang w:val="id-ID"/>
    </w:rPr>
  </w:style>
  <w:style w:type="character" w:customStyle="1" w:styleId="BodyCharChar">
    <w:name w:val="Body Char Char"/>
    <w:link w:val="BodyChar"/>
    <w:locked/>
    <w:rsid w:val="00581990"/>
    <w:rPr>
      <w:rFonts w:ascii="Times New Roman" w:hAnsi="Times New Roman" w:cs="Times"/>
      <w:color w:val="000000"/>
      <w:sz w:val="18"/>
      <w:szCs w:val="22"/>
    </w:rPr>
  </w:style>
  <w:style w:type="paragraph" w:customStyle="1" w:styleId="BodyChar">
    <w:name w:val="Body Char"/>
    <w:link w:val="BodyCharChar"/>
    <w:rsid w:val="00581990"/>
    <w:pPr>
      <w:tabs>
        <w:tab w:val="left" w:pos="567"/>
      </w:tabs>
      <w:jc w:val="both"/>
    </w:pPr>
    <w:rPr>
      <w:rFonts w:ascii="Times New Roman" w:hAnsi="Times New Roman" w:cs="Times"/>
      <w:color w:val="000000"/>
      <w:sz w:val="18"/>
      <w:szCs w:val="22"/>
    </w:rPr>
  </w:style>
  <w:style w:type="paragraph" w:customStyle="1" w:styleId="BodytextIndented">
    <w:name w:val="BodytextIndented"/>
    <w:basedOn w:val="Normal"/>
    <w:rsid w:val="00482458"/>
    <w:pPr>
      <w:spacing w:line="240" w:lineRule="auto"/>
      <w:ind w:firstLine="284"/>
    </w:pPr>
    <w:rPr>
      <w:rFonts w:ascii="Times" w:eastAsia="Times New Roman" w:hAnsi="Times" w:cs="Times New Roman"/>
      <w:iCs/>
      <w:color w:val="000000"/>
      <w:sz w:val="22"/>
      <w:szCs w:val="22"/>
    </w:rPr>
  </w:style>
  <w:style w:type="character" w:customStyle="1" w:styleId="shorttext">
    <w:name w:val="short_text"/>
    <w:rsid w:val="0062642A"/>
  </w:style>
  <w:style w:type="paragraph" w:styleId="NormalWeb">
    <w:name w:val="Normal (Web)"/>
    <w:basedOn w:val="Normal"/>
    <w:uiPriority w:val="99"/>
    <w:unhideWhenUsed/>
    <w:rsid w:val="0062642A"/>
    <w:pPr>
      <w:spacing w:before="100" w:beforeAutospacing="1" w:after="100" w:afterAutospacing="1" w:line="240" w:lineRule="auto"/>
      <w:jc w:val="left"/>
    </w:pPr>
    <w:rPr>
      <w:rFonts w:eastAsia="Times New Roman" w:cs="Times New Roman"/>
      <w:sz w:val="24"/>
      <w:lang w:val="id-ID" w:eastAsia="id-ID"/>
    </w:rPr>
  </w:style>
  <w:style w:type="table" w:customStyle="1" w:styleId="LightGrid-Accent11">
    <w:name w:val="Light Grid - Accent 11"/>
    <w:basedOn w:val="TableNormal"/>
    <w:uiPriority w:val="62"/>
    <w:rsid w:val="001824E5"/>
    <w:rPr>
      <w:rFonts w:eastAsiaTheme="minorEastAsia"/>
      <w:kern w:val="2"/>
      <w:sz w:val="21"/>
      <w:szCs w:val="22"/>
      <w:lang w:eastAsia="zh-C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TableGridLight">
    <w:name w:val="Grid Table Light"/>
    <w:basedOn w:val="TableNormal"/>
    <w:uiPriority w:val="40"/>
    <w:rsid w:val="001824E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1824E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11">
    <w:name w:val="Grid Table 4 - Accent 11"/>
    <w:basedOn w:val="TableNormal"/>
    <w:uiPriority w:val="49"/>
    <w:rsid w:val="001824E5"/>
    <w:rPr>
      <w:rFonts w:eastAsiaTheme="minorEastAsia"/>
      <w:kern w:val="2"/>
      <w:sz w:val="21"/>
      <w:szCs w:val="22"/>
      <w:lang w:eastAsia="zh-CN"/>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itle">
    <w:name w:val="Subtitle"/>
    <w:basedOn w:val="Normal"/>
    <w:next w:val="Normal"/>
    <w:link w:val="SubtitleChar"/>
    <w:uiPriority w:val="11"/>
    <w:qFormat/>
    <w:rsid w:val="0040788C"/>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40788C"/>
    <w:rPr>
      <w:rFonts w:eastAsiaTheme="minorEastAsia"/>
      <w:color w:val="5A5A5A" w:themeColor="text1" w:themeTint="A5"/>
      <w:spacing w:val="15"/>
      <w:sz w:val="22"/>
      <w:szCs w:val="22"/>
    </w:rPr>
  </w:style>
  <w:style w:type="character" w:styleId="BookTitle">
    <w:name w:val="Book Title"/>
    <w:basedOn w:val="DefaultParagraphFont"/>
    <w:uiPriority w:val="33"/>
    <w:qFormat/>
    <w:rsid w:val="0040788C"/>
    <w:rPr>
      <w:b/>
      <w:bCs/>
      <w:i/>
      <w:iCs/>
      <w:spacing w:val="5"/>
    </w:rPr>
  </w:style>
  <w:style w:type="paragraph" w:customStyle="1" w:styleId="AJARCDETable-FigureCaptionSingle-Line">
    <w:name w:val="AJARCDE Table-Figure Caption Single-Line"/>
    <w:basedOn w:val="Normal"/>
    <w:next w:val="Normal"/>
    <w:rsid w:val="00286A84"/>
    <w:pPr>
      <w:adjustRightInd w:val="0"/>
      <w:snapToGrid w:val="0"/>
      <w:spacing w:line="240" w:lineRule="auto"/>
      <w:jc w:val="center"/>
    </w:pPr>
    <w:rPr>
      <w:rFonts w:eastAsia="SimSun" w:cs="Times New Roman"/>
      <w:lang w:val="en-AU" w:eastAsia="zh-CN"/>
    </w:rPr>
  </w:style>
  <w:style w:type="paragraph" w:styleId="HTMLPreformatted">
    <w:name w:val="HTML Preformatted"/>
    <w:basedOn w:val="Normal"/>
    <w:link w:val="HTMLPreformattedChar"/>
    <w:uiPriority w:val="99"/>
    <w:unhideWhenUsed/>
    <w:rsid w:val="00DC5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547B"/>
    <w:rPr>
      <w:rFonts w:ascii="Courier New" w:eastAsia="Times New Roman" w:hAnsi="Courier New" w:cs="Courier New"/>
      <w:sz w:val="20"/>
      <w:szCs w:val="20"/>
    </w:rPr>
  </w:style>
  <w:style w:type="character" w:customStyle="1" w:styleId="y2iqfc">
    <w:name w:val="y2iqfc"/>
    <w:basedOn w:val="DefaultParagraphFont"/>
    <w:rsid w:val="00DC547B"/>
  </w:style>
  <w:style w:type="paragraph" w:styleId="BodyText">
    <w:name w:val="Body Text"/>
    <w:basedOn w:val="Normal"/>
    <w:link w:val="BodyTextChar"/>
    <w:uiPriority w:val="1"/>
    <w:qFormat/>
    <w:rsid w:val="00B26E1A"/>
    <w:pPr>
      <w:widowControl w:val="0"/>
      <w:autoSpaceDE w:val="0"/>
      <w:autoSpaceDN w:val="0"/>
      <w:spacing w:line="240" w:lineRule="auto"/>
      <w:jc w:val="left"/>
    </w:pPr>
    <w:rPr>
      <w:rFonts w:eastAsia="Times New Roman" w:cs="Times New Roman"/>
      <w:szCs w:val="18"/>
    </w:rPr>
  </w:style>
  <w:style w:type="character" w:customStyle="1" w:styleId="BodyTextChar">
    <w:name w:val="Body Text Char"/>
    <w:basedOn w:val="DefaultParagraphFont"/>
    <w:link w:val="BodyText"/>
    <w:uiPriority w:val="1"/>
    <w:rsid w:val="00B26E1A"/>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4E7B7A"/>
    <w:rPr>
      <w:color w:val="605E5C"/>
      <w:shd w:val="clear" w:color="auto" w:fill="E1DFDD"/>
    </w:rPr>
  </w:style>
  <w:style w:type="character" w:customStyle="1" w:styleId="col">
    <w:name w:val="col"/>
    <w:basedOn w:val="DefaultParagraphFont"/>
    <w:rsid w:val="0068183D"/>
  </w:style>
  <w:style w:type="character" w:customStyle="1" w:styleId="name">
    <w:name w:val="name"/>
    <w:basedOn w:val="DefaultParagraphFont"/>
    <w:rsid w:val="0068183D"/>
  </w:style>
  <w:style w:type="character" w:customStyle="1" w:styleId="value">
    <w:name w:val="value"/>
    <w:basedOn w:val="DefaultParagraphFont"/>
    <w:rsid w:val="0068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13608">
      <w:bodyDiv w:val="1"/>
      <w:marLeft w:val="0"/>
      <w:marRight w:val="0"/>
      <w:marTop w:val="0"/>
      <w:marBottom w:val="0"/>
      <w:divBdr>
        <w:top w:val="none" w:sz="0" w:space="0" w:color="auto"/>
        <w:left w:val="none" w:sz="0" w:space="0" w:color="auto"/>
        <w:bottom w:val="none" w:sz="0" w:space="0" w:color="auto"/>
        <w:right w:val="none" w:sz="0" w:space="0" w:color="auto"/>
      </w:divBdr>
    </w:div>
    <w:div w:id="83575290">
      <w:bodyDiv w:val="1"/>
      <w:marLeft w:val="0"/>
      <w:marRight w:val="0"/>
      <w:marTop w:val="0"/>
      <w:marBottom w:val="0"/>
      <w:divBdr>
        <w:top w:val="none" w:sz="0" w:space="0" w:color="auto"/>
        <w:left w:val="none" w:sz="0" w:space="0" w:color="auto"/>
        <w:bottom w:val="none" w:sz="0" w:space="0" w:color="auto"/>
        <w:right w:val="none" w:sz="0" w:space="0" w:color="auto"/>
      </w:divBdr>
    </w:div>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51528267">
      <w:bodyDiv w:val="1"/>
      <w:marLeft w:val="0"/>
      <w:marRight w:val="0"/>
      <w:marTop w:val="0"/>
      <w:marBottom w:val="0"/>
      <w:divBdr>
        <w:top w:val="none" w:sz="0" w:space="0" w:color="auto"/>
        <w:left w:val="none" w:sz="0" w:space="0" w:color="auto"/>
        <w:bottom w:val="none" w:sz="0" w:space="0" w:color="auto"/>
        <w:right w:val="none" w:sz="0" w:space="0" w:color="auto"/>
      </w:divBdr>
    </w:div>
    <w:div w:id="235867824">
      <w:bodyDiv w:val="1"/>
      <w:marLeft w:val="0"/>
      <w:marRight w:val="0"/>
      <w:marTop w:val="0"/>
      <w:marBottom w:val="0"/>
      <w:divBdr>
        <w:top w:val="none" w:sz="0" w:space="0" w:color="auto"/>
        <w:left w:val="none" w:sz="0" w:space="0" w:color="auto"/>
        <w:bottom w:val="none" w:sz="0" w:space="0" w:color="auto"/>
        <w:right w:val="none" w:sz="0" w:space="0" w:color="auto"/>
      </w:divBdr>
    </w:div>
    <w:div w:id="248659156">
      <w:bodyDiv w:val="1"/>
      <w:marLeft w:val="0"/>
      <w:marRight w:val="0"/>
      <w:marTop w:val="0"/>
      <w:marBottom w:val="0"/>
      <w:divBdr>
        <w:top w:val="none" w:sz="0" w:space="0" w:color="auto"/>
        <w:left w:val="none" w:sz="0" w:space="0" w:color="auto"/>
        <w:bottom w:val="none" w:sz="0" w:space="0" w:color="auto"/>
        <w:right w:val="none" w:sz="0" w:space="0" w:color="auto"/>
      </w:divBdr>
    </w:div>
    <w:div w:id="426343070">
      <w:bodyDiv w:val="1"/>
      <w:marLeft w:val="0"/>
      <w:marRight w:val="0"/>
      <w:marTop w:val="0"/>
      <w:marBottom w:val="0"/>
      <w:divBdr>
        <w:top w:val="none" w:sz="0" w:space="0" w:color="auto"/>
        <w:left w:val="none" w:sz="0" w:space="0" w:color="auto"/>
        <w:bottom w:val="none" w:sz="0" w:space="0" w:color="auto"/>
        <w:right w:val="none" w:sz="0" w:space="0" w:color="auto"/>
      </w:divBdr>
    </w:div>
    <w:div w:id="494339125">
      <w:bodyDiv w:val="1"/>
      <w:marLeft w:val="0"/>
      <w:marRight w:val="0"/>
      <w:marTop w:val="0"/>
      <w:marBottom w:val="0"/>
      <w:divBdr>
        <w:top w:val="none" w:sz="0" w:space="0" w:color="auto"/>
        <w:left w:val="none" w:sz="0" w:space="0" w:color="auto"/>
        <w:bottom w:val="none" w:sz="0" w:space="0" w:color="auto"/>
        <w:right w:val="none" w:sz="0" w:space="0" w:color="auto"/>
      </w:divBdr>
    </w:div>
    <w:div w:id="558588611">
      <w:bodyDiv w:val="1"/>
      <w:marLeft w:val="0"/>
      <w:marRight w:val="0"/>
      <w:marTop w:val="0"/>
      <w:marBottom w:val="0"/>
      <w:divBdr>
        <w:top w:val="none" w:sz="0" w:space="0" w:color="auto"/>
        <w:left w:val="none" w:sz="0" w:space="0" w:color="auto"/>
        <w:bottom w:val="none" w:sz="0" w:space="0" w:color="auto"/>
        <w:right w:val="none" w:sz="0" w:space="0" w:color="auto"/>
      </w:divBdr>
    </w:div>
    <w:div w:id="642123383">
      <w:bodyDiv w:val="1"/>
      <w:marLeft w:val="0"/>
      <w:marRight w:val="0"/>
      <w:marTop w:val="0"/>
      <w:marBottom w:val="0"/>
      <w:divBdr>
        <w:top w:val="none" w:sz="0" w:space="0" w:color="auto"/>
        <w:left w:val="none" w:sz="0" w:space="0" w:color="auto"/>
        <w:bottom w:val="none" w:sz="0" w:space="0" w:color="auto"/>
        <w:right w:val="none" w:sz="0" w:space="0" w:color="auto"/>
      </w:divBdr>
    </w:div>
    <w:div w:id="933242832">
      <w:bodyDiv w:val="1"/>
      <w:marLeft w:val="0"/>
      <w:marRight w:val="0"/>
      <w:marTop w:val="0"/>
      <w:marBottom w:val="0"/>
      <w:divBdr>
        <w:top w:val="none" w:sz="0" w:space="0" w:color="auto"/>
        <w:left w:val="none" w:sz="0" w:space="0" w:color="auto"/>
        <w:bottom w:val="none" w:sz="0" w:space="0" w:color="auto"/>
        <w:right w:val="none" w:sz="0" w:space="0" w:color="auto"/>
      </w:divBdr>
    </w:div>
    <w:div w:id="1054424175">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12867004">
      <w:bodyDiv w:val="1"/>
      <w:marLeft w:val="0"/>
      <w:marRight w:val="0"/>
      <w:marTop w:val="0"/>
      <w:marBottom w:val="0"/>
      <w:divBdr>
        <w:top w:val="none" w:sz="0" w:space="0" w:color="auto"/>
        <w:left w:val="none" w:sz="0" w:space="0" w:color="auto"/>
        <w:bottom w:val="none" w:sz="0" w:space="0" w:color="auto"/>
        <w:right w:val="none" w:sz="0" w:space="0" w:color="auto"/>
      </w:divBdr>
    </w:div>
    <w:div w:id="1119953333">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173448679">
      <w:bodyDiv w:val="1"/>
      <w:marLeft w:val="0"/>
      <w:marRight w:val="0"/>
      <w:marTop w:val="0"/>
      <w:marBottom w:val="0"/>
      <w:divBdr>
        <w:top w:val="none" w:sz="0" w:space="0" w:color="auto"/>
        <w:left w:val="none" w:sz="0" w:space="0" w:color="auto"/>
        <w:bottom w:val="none" w:sz="0" w:space="0" w:color="auto"/>
        <w:right w:val="none" w:sz="0" w:space="0" w:color="auto"/>
      </w:divBdr>
    </w:div>
    <w:div w:id="1224178705">
      <w:bodyDiv w:val="1"/>
      <w:marLeft w:val="0"/>
      <w:marRight w:val="0"/>
      <w:marTop w:val="0"/>
      <w:marBottom w:val="0"/>
      <w:divBdr>
        <w:top w:val="none" w:sz="0" w:space="0" w:color="auto"/>
        <w:left w:val="none" w:sz="0" w:space="0" w:color="auto"/>
        <w:bottom w:val="none" w:sz="0" w:space="0" w:color="auto"/>
        <w:right w:val="none" w:sz="0" w:space="0" w:color="auto"/>
      </w:divBdr>
    </w:div>
    <w:div w:id="1427388335">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524636318">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693148817">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07703485">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1836452268">
      <w:bodyDiv w:val="1"/>
      <w:marLeft w:val="0"/>
      <w:marRight w:val="0"/>
      <w:marTop w:val="0"/>
      <w:marBottom w:val="0"/>
      <w:divBdr>
        <w:top w:val="none" w:sz="0" w:space="0" w:color="auto"/>
        <w:left w:val="none" w:sz="0" w:space="0" w:color="auto"/>
        <w:bottom w:val="none" w:sz="0" w:space="0" w:color="auto"/>
        <w:right w:val="none" w:sz="0" w:space="0" w:color="auto"/>
      </w:divBdr>
    </w:div>
    <w:div w:id="1844739804">
      <w:bodyDiv w:val="1"/>
      <w:marLeft w:val="0"/>
      <w:marRight w:val="0"/>
      <w:marTop w:val="0"/>
      <w:marBottom w:val="0"/>
      <w:divBdr>
        <w:top w:val="none" w:sz="0" w:space="0" w:color="auto"/>
        <w:left w:val="none" w:sz="0" w:space="0" w:color="auto"/>
        <w:bottom w:val="none" w:sz="0" w:space="0" w:color="auto"/>
        <w:right w:val="none" w:sz="0" w:space="0" w:color="auto"/>
      </w:divBdr>
    </w:div>
    <w:div w:id="2005887057">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 w:id="2147043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ojs.uma.ac.id/index.php/agrica/issue/view/52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ojs.uma.ac.id/index.php/agrica/issue/view/522" TargetMode="External"/><Relationship Id="rId2" Type="http://schemas.openxmlformats.org/officeDocument/2006/relationships/numbering" Target="numbering.xml"/><Relationship Id="rId16" Type="http://schemas.openxmlformats.org/officeDocument/2006/relationships/hyperlink" Target="https://orcid.org/0000-0003-2094-023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22219/jie.v2i3.7109"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8813-6C4C-43B5-8E29-D5084F769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2927</Words>
  <Characters>16278</Characters>
  <Application>Microsoft Office Word</Application>
  <DocSecurity>0</DocSecurity>
  <Lines>428</Lines>
  <Paragraphs>99</Paragraphs>
  <ScaleCrop>false</ScaleCrop>
  <HeadingPairs>
    <vt:vector size="2" baseType="variant">
      <vt:variant>
        <vt:lpstr>Title</vt:lpstr>
      </vt:variant>
      <vt:variant>
        <vt:i4>1</vt:i4>
      </vt:variant>
    </vt:vector>
  </HeadingPairs>
  <TitlesOfParts>
    <vt:vector size="1" baseType="lpstr">
      <vt:lpstr>Template Artikel Jurnal Teknologi dan Sistem Informasi, Unand</vt:lpstr>
    </vt:vector>
  </TitlesOfParts>
  <Manager/>
  <Company>Universitas Andalas</Company>
  <LinksUpToDate>false</LinksUpToDate>
  <CharactersWithSpaces>19106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Artikel Jurnal Teknologi dan Sistem Informasi, Unand</dc:title>
  <dc:subject>Template Artikel</dc:subject>
  <dc:creator>Fajril Akbar</dc:creator>
  <cp:keywords>TEKNOSI, template, artikel, article, template, journal</cp:keywords>
  <dc:description/>
  <cp:lastModifiedBy>Novizar Nazir</cp:lastModifiedBy>
  <cp:revision>4</cp:revision>
  <cp:lastPrinted>2020-01-04T07:55:00Z</cp:lastPrinted>
  <dcterms:created xsi:type="dcterms:W3CDTF">2024-12-11T02:13:00Z</dcterms:created>
  <dcterms:modified xsi:type="dcterms:W3CDTF">2024-12-11T02:19:00Z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630755cd8755ed1049fc3010616e8958d6c10f1a6ee055ed22c6d4cdfad8d4e7</vt:lpwstr>
  </property>
</Properties>
</file>